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ascii="Times New Roman" w:hAnsi="Times New Roman" w:eastAsia="小标宋" w:cs="Times New Roman"/>
          <w:bCs/>
          <w:color w:val="000000" w:themeColor="text1"/>
          <w:sz w:val="36"/>
          <w:szCs w:val="36"/>
          <w:highlight w:val="none"/>
          <w14:textFill>
            <w14:solidFill>
              <w14:schemeClr w14:val="tx1"/>
            </w14:solidFill>
          </w14:textFill>
        </w:rPr>
      </w:pPr>
      <w:bookmarkStart w:id="0" w:name="_Toc10851"/>
      <w:bookmarkStart w:id="1" w:name="_Toc2937"/>
      <w:bookmarkStart w:id="2" w:name="_Toc31850"/>
      <w:bookmarkStart w:id="3" w:name="_Toc11104"/>
      <w:r>
        <w:rPr>
          <w:rFonts w:hint="default" w:ascii="Times New Roman" w:hAnsi="Times New Roman" w:eastAsia="小标宋" w:cs="Times New Roman"/>
          <w:bCs/>
          <w:color w:val="000000" w:themeColor="text1"/>
          <w:sz w:val="36"/>
          <w:szCs w:val="36"/>
          <w:highlight w:val="none"/>
          <w14:textFill>
            <w14:solidFill>
              <w14:schemeClr w14:val="tx1"/>
            </w14:solidFill>
          </w14:textFill>
        </w:rPr>
        <w:t>西安科技大学</w:t>
      </w:r>
      <w:r>
        <w:rPr>
          <w:rFonts w:hint="default" w:ascii="Times New Roman" w:hAnsi="Times New Roman" w:eastAsia="小标宋" w:cs="Times New Roman"/>
          <w:bCs/>
          <w:color w:val="000000" w:themeColor="text1"/>
          <w:sz w:val="36"/>
          <w:szCs w:val="36"/>
          <w:highlight w:val="none"/>
          <w14:textFill>
            <w14:solidFill>
              <w14:schemeClr w14:val="tx1"/>
            </w14:solidFill>
          </w14:textFill>
        </w:rPr>
        <w:br w:type="textWrapping"/>
      </w:r>
      <w:bookmarkStart w:id="18" w:name="_GoBack"/>
      <w:r>
        <w:rPr>
          <w:rFonts w:hint="default" w:ascii="Times New Roman" w:hAnsi="Times New Roman" w:eastAsia="小标宋" w:cs="Times New Roman"/>
          <w:bCs/>
          <w:color w:val="000000" w:themeColor="text1"/>
          <w:sz w:val="36"/>
          <w:szCs w:val="36"/>
          <w:highlight w:val="none"/>
          <w14:textFill>
            <w14:solidFill>
              <w14:schemeClr w14:val="tx1"/>
            </w14:solidFill>
          </w14:textFill>
        </w:rPr>
        <w:t>环境工程专业</w:t>
      </w:r>
      <w:bookmarkEnd w:id="18"/>
      <w:r>
        <w:rPr>
          <w:rFonts w:hint="default" w:ascii="Times New Roman" w:hAnsi="Times New Roman" w:eastAsia="小标宋" w:cs="Times New Roman"/>
          <w:bCs/>
          <w:color w:val="000000" w:themeColor="text1"/>
          <w:sz w:val="36"/>
          <w:szCs w:val="36"/>
          <w:highlight w:val="none"/>
          <w14:textFill>
            <w14:solidFill>
              <w14:schemeClr w14:val="tx1"/>
            </w14:solidFill>
          </w14:textFill>
        </w:rPr>
        <w:t>人才培养方案</w:t>
      </w:r>
      <w:bookmarkEnd w:id="0"/>
      <w:bookmarkEnd w:id="1"/>
      <w:bookmarkEnd w:id="2"/>
      <w:bookmarkEnd w:id="3"/>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西安科技大学环境工程专业的办学历史可以追溯到1958年西安矿业学院地质系。1998年根据人才培养的要求开设本科环境工程专业，1999年开始招生，至今已有20余年历史。2003年获批环境工程二级硕士学位授予权，2006年获批环境科学与工程一级硕士学位授予权，2010年获环境工程领域专业学位授予权。2003年在学校矿业工程一级博士点下自主设立矿山环境工程二级博士学位授权点，2011年矿山环境工程博士点调整至地质资源与地质工程一级博士学位授权点。形成了学士－硕士－博士完整的人才培养体系。</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西安科技大学环境工程专业师资结构合理、学术水平高、创新能力强、爱岗敬业。环境工程专业具有完备的本科工程实训中心、课程实验室、专业实验室、科研实验室等教学和科研平台，建立了西安市污水处理公司等多个实习实践基地。环境工程专业依托学校地矿特色和地质资源与地质工程学科优势，在矿物材料环境功能开发、矿区生态修复、污染治理理论与技术等方面形成特色。近几年承担了数十项国家和省部级相关科研项目，取得了部分具有一定影响力的科研成果。</w:t>
      </w:r>
    </w:p>
    <w:p>
      <w:pPr>
        <w:pStyle w:val="3"/>
        <w:bidi w:val="0"/>
        <w:rPr>
          <w:rFonts w:hint="default"/>
          <w:color w:val="000000" w:themeColor="text1"/>
          <w14:textFill>
            <w14:solidFill>
              <w14:schemeClr w14:val="tx1"/>
            </w14:solidFill>
          </w14:textFill>
        </w:rPr>
      </w:pPr>
      <w:bookmarkStart w:id="4" w:name="_Toc15219"/>
      <w:r>
        <w:rPr>
          <w:rFonts w:hint="default"/>
          <w:color w:val="000000" w:themeColor="text1"/>
          <w14:textFill>
            <w14:solidFill>
              <w14:schemeClr w14:val="tx1"/>
            </w14:solidFill>
          </w14:textFill>
        </w:rPr>
        <w:t>一、培养目标</w:t>
      </w:r>
      <w:bookmarkEnd w:id="4"/>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专业培养具备生态文明与绿色发展理念，掌握污染防治、环境规划和资源保护等方面的知识，具有进行污染控制工程的设计和运营管理、制定环境规划和进行环境管理的能力，具有从事环境工程方面的新理念、新工艺、新设备的研究和开发能力，能在政府部门、规划部门、经济管理部门、环保部门、设计单位、工矿企业、科研单位、学校等从事规划、设计、管理、教育和研究开发方面工作的高级工程技术人才。</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预期本专业学生在毕业后五年左右具有良好的社会责任感和工程职业道德，拥有团队精神、沟通表达和工程项目管理能力，拥有全球视野和较强的终身学习能力；具备环保工程师的基本专业素质、能对复杂环境工程问题提供系统性的解决方案、能够跟踪环境工程及相关领域的前沿技术、具备一定的环境工程创新能力。</w:t>
      </w:r>
    </w:p>
    <w:p>
      <w:pPr>
        <w:pStyle w:val="3"/>
        <w:bidi w:val="0"/>
        <w:rPr>
          <w:rFonts w:hint="default"/>
          <w:color w:val="000000" w:themeColor="text1"/>
          <w14:textFill>
            <w14:solidFill>
              <w14:schemeClr w14:val="tx1"/>
            </w14:solidFill>
          </w14:textFill>
        </w:rPr>
      </w:pPr>
      <w:bookmarkStart w:id="5" w:name="_Toc6047"/>
      <w:r>
        <w:rPr>
          <w:rFonts w:hint="default"/>
          <w:color w:val="000000" w:themeColor="text1"/>
          <w14:textFill>
            <w14:solidFill>
              <w14:schemeClr w14:val="tx1"/>
            </w14:solidFill>
          </w14:textFill>
        </w:rPr>
        <w:t>二、培养要求（毕业要求）</w:t>
      </w:r>
      <w:bookmarkEnd w:id="5"/>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毕业生应获得以下几个方面的知识和能力：</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w:t>
      </w:r>
      <w:r>
        <w:rPr>
          <w:rFonts w:hint="default"/>
          <w:color w:val="000000" w:themeColor="text1"/>
          <w14:textFill>
            <w14:solidFill>
              <w14:schemeClr w14:val="tx1"/>
            </w14:solidFill>
          </w14:textFill>
        </w:rPr>
        <w:t>工程知识：掌握数学、自然科学、工程基础和专业知识，能够运用其理论和方法解决环境污染评价、污染治理工程的设计、运行和管理等复杂工程问题。</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指标点1-1：掌握数学知识，能针对环境污染问题和治理工艺建立数学模型，并利用合理的边界条件进行求解；</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：能将自然科学知识运用到对复杂环境问题的评价和恰当表述中；</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：掌握环境工程基础知识，能够运用其理论和方法解决环境污染治理工程的设计、运行中的复杂工程问题；</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指标点1-</w:t>
      </w: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 xml:space="preserve">：掌握环境专业知识，将其用于解决复杂环境工程问题方案的比较、优化、改进及工程管理和项目咨询。 </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问题分析：能够应用数学、自然科学和工程科学的基本原理，结合环境领域专业知识对环境工程问题进行识别、表达，并通过文献研究分析复杂工程问题，以获得有效结论。</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指标点2-1：能够运用相关科学原理，识别和判断复杂环境工程问题的关键环节；</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：能基于科学原理和数学模型方法正确表达复杂环境工程问题；</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：能认识到解决问题有多种方案可选择，能够通过文献研究获取环境工程问题可替代的解决方案；</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指标点2-</w:t>
      </w: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：能够运用基本原理，借助文献研究，分析环境工程问题的影响因素，获得有效结论。</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设计/开发解决方案：能够设计针对复杂环境工程问题的解决方案，设计满足特定需求的系统、单元或工艺流程，并能够在设计环节中体现创新意识，考虑社会、健康、安全、法律、文化及环境等因素。</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指标点3-1：能够根据污染控制目标确定设计内容；</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：能够在安全、环境、法律等现实性约束条件下，通过技术经济评价对设计方案进行可行性研究；</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：能够进行工艺流程设计，对单元和设备进行计算，对流程设计方案进行优选，体现创新意识，并考虑社会、健康、安全、法律、文化及环境等因素；</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指标点3-</w:t>
      </w: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：能够用图纸、报告等工程学语言呈现设计成果。</w:t>
      </w:r>
    </w:p>
    <w:p>
      <w:pPr>
        <w:pStyle w:val="12"/>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4.科学研究：能够基于科学原理并采用科学方法对复杂环境工程问题进行研究，进行实验设计、数据解析，通过信息综合得到合理有效的结论。</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指标点4-1：能够对复杂环境工程问题进行系统分析，明确研究对象的基本特征和解决问题的关键环节；</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：能够基于科学原理或专业理论，根据研究对象特征选择可行的技术路线，制定具体的研究方案；</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：能够基于科学原理和方法，根据研究方案构建实验系统，安全开展实验研究；</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指标点4-</w:t>
      </w:r>
      <w:r>
        <w:rPr>
          <w:rFonts w:hint="default"/>
          <w:color w:val="000000" w:themeColor="text1"/>
          <w:lang w:val="en-US" w:eastAsia="zh-CN"/>
          <w14:textFill>
            <w14:solidFill>
              <w14:schemeClr w14:val="tx1"/>
            </w14:solidFill>
          </w14:textFill>
        </w:rPr>
        <w:t>4</w:t>
      </w:r>
      <w:r>
        <w:rPr>
          <w:rFonts w:hint="default"/>
          <w:color w:val="000000" w:themeColor="text1"/>
          <w14:textFill>
            <w14:solidFill>
              <w14:schemeClr w14:val="tx1"/>
            </w14:solidFill>
          </w14:textFill>
        </w:rPr>
        <w:t>：能正确采集、整理实验数据，对实验结果进行关联、分析、解释，获取合理有效的结论。</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w:t>
      </w:r>
      <w:r>
        <w:rPr>
          <w:rFonts w:hint="default"/>
          <w:color w:val="000000" w:themeColor="text1"/>
          <w14:textFill>
            <w14:solidFill>
              <w14:schemeClr w14:val="tx1"/>
            </w14:solidFill>
          </w14:textFill>
        </w:rPr>
        <w:t>使用现代工具：针对复杂环境工程问题，能够开发、选择与使用恰当的技术、资源、现代实验分析手段和信息技术工具进行分析、模拟及预测，并能够理解所使用方法和技术的局限性。</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指标点5-1：了解现代仪器、制图工具、信息技术工具和专业模拟软件的原理和使用方法，并能理解其局限性；</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：能够选择与使用恰当的仪器、制图工具、信息技术工具和专业模拟软件对环境工程问题进行分析、计算与设计；</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指标点5-</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：能够开发或选用满足特定需求的现代工具，模拟及预测复杂环境工程问题，并能够分析其局限性。</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6.</w:t>
      </w:r>
      <w:r>
        <w:rPr>
          <w:rFonts w:hint="default"/>
          <w:color w:val="000000" w:themeColor="text1"/>
          <w14:textFill>
            <w14:solidFill>
              <w14:schemeClr w14:val="tx1"/>
            </w14:solidFill>
          </w14:textFill>
        </w:rPr>
        <w:t>工程与社会：具有工程和人文相关背景知识，能科学分析和评价工程建设对社会、健康、安全、法律以及文化的影响，并理解应承担的责任。</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指标点6-1：熟悉环境保护相关的法律法规、技术标准、规范和产业政策，理解不同社会文化对工程活动的影响；</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指标点6-</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：能够分析和评价专业工程实践对社会、健康、安全、法律以及文化的影响，以及这些制约因素对项目实施的影响，并理解应承担的责任。</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7.</w:t>
      </w:r>
      <w:r>
        <w:rPr>
          <w:rFonts w:hint="default"/>
          <w:color w:val="000000" w:themeColor="text1"/>
          <w14:textFill>
            <w14:solidFill>
              <w14:schemeClr w14:val="tx1"/>
            </w14:solidFill>
          </w14:textFill>
        </w:rPr>
        <w:t>环境和可持续发展：能够理解和评价针对复杂工程问题的工程实践对环境、社会可持续发展的影响。</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指标点7-1：理解环境保护与可持续发展的内涵和意义，理解环境工程专业对社会的责任；</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指标点7-</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 xml:space="preserve">：能针对实际工程项目，评价其资源利用效率、污染物最终处置方案和安全防范措施，理解资源的综合利用对社会发展的影响。   </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8.职业规范：具有人文社会科学素养、社会责任感，热爱环境保护事业，注重职业道德修养，能够在工程实践中理解并遵守工程职业道德和规范，履行职业责任。</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 xml:space="preserve">-1：有正确价值观，理解个人与社会的关系，了解中国国情； </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w:t>
      </w:r>
      <w:r>
        <w:rPr>
          <w:rFonts w:hint="default"/>
          <w:color w:val="000000" w:themeColor="text1"/>
          <w:lang w:val="en-US" w:eastAsia="zh-CN"/>
          <w14:textFill>
            <w14:solidFill>
              <w14:schemeClr w14:val="tx1"/>
            </w14:solidFill>
          </w14:textFill>
        </w:rPr>
        <w:t>2</w:t>
      </w:r>
      <w:r>
        <w:rPr>
          <w:rFonts w:hint="default"/>
          <w:color w:val="000000" w:themeColor="text1"/>
          <w14:textFill>
            <w14:solidFill>
              <w14:schemeClr w14:val="tx1"/>
            </w14:solidFill>
          </w14:textFill>
        </w:rPr>
        <w:t xml:space="preserve">：理解诚实公正、诚信守则的工程职业道德和规范，并能在工程实践中自觉遵守； </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8</w:t>
      </w:r>
      <w:r>
        <w:rPr>
          <w:rFonts w:hint="default"/>
          <w:color w:val="000000" w:themeColor="text1"/>
          <w14:textFill>
            <w14:solidFill>
              <w14:schemeClr w14:val="tx1"/>
            </w14:solidFill>
          </w14:textFill>
        </w:rPr>
        <w:t>-</w:t>
      </w:r>
      <w:r>
        <w:rPr>
          <w:rFonts w:hint="default"/>
          <w:color w:val="000000" w:themeColor="text1"/>
          <w:lang w:val="en-US" w:eastAsia="zh-CN"/>
          <w14:textFill>
            <w14:solidFill>
              <w14:schemeClr w14:val="tx1"/>
            </w14:solidFill>
          </w14:textFill>
        </w:rPr>
        <w:t>3</w:t>
      </w:r>
      <w:r>
        <w:rPr>
          <w:rFonts w:hint="default"/>
          <w:color w:val="000000" w:themeColor="text1"/>
          <w14:textFill>
            <w14:solidFill>
              <w14:schemeClr w14:val="tx1"/>
            </w14:solidFill>
          </w14:textFill>
        </w:rPr>
        <w:t>：理解工程师对公众的安全、健康和福祉，以及环境保护的社会责任，能够在工程实践中自觉履行责任。</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9.</w:t>
      </w:r>
      <w:r>
        <w:rPr>
          <w:rFonts w:hint="default"/>
          <w:color w:val="000000" w:themeColor="text1"/>
          <w14:textFill>
            <w14:solidFill>
              <w14:schemeClr w14:val="tx1"/>
            </w14:solidFill>
          </w14:textFill>
        </w:rPr>
        <w:t>个人和团队：能够在多学科背景下的团队中承担个体、团队成员以及负责人的角色。</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9</w:t>
      </w:r>
      <w:r>
        <w:rPr>
          <w:rFonts w:hint="default"/>
          <w:color w:val="000000" w:themeColor="text1"/>
          <w14:textFill>
            <w14:solidFill>
              <w14:schemeClr w14:val="tx1"/>
            </w14:solidFill>
          </w14:textFill>
        </w:rPr>
        <w:t xml:space="preserve">-1：能理解多学科交叉对工程的重要性，能与其他学科的成员有效沟通，合作共事； </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9-2</w:t>
      </w:r>
      <w:r>
        <w:rPr>
          <w:rFonts w:hint="default"/>
          <w:color w:val="000000" w:themeColor="text1"/>
          <w14:textFill>
            <w14:solidFill>
              <w14:schemeClr w14:val="tx1"/>
            </w14:solidFill>
          </w14:textFill>
        </w:rPr>
        <w:t xml:space="preserve">：能够在团队中独立或合作开展工作； </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9-3</w:t>
      </w:r>
      <w:r>
        <w:rPr>
          <w:rFonts w:hint="default"/>
          <w:color w:val="000000" w:themeColor="text1"/>
          <w14:textFill>
            <w14:solidFill>
              <w14:schemeClr w14:val="tx1"/>
            </w14:solidFill>
          </w14:textFill>
        </w:rPr>
        <w:t>：能够组织、协调和指挥团队开展工作。</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10.</w:t>
      </w:r>
      <w:r>
        <w:rPr>
          <w:rFonts w:hint="default"/>
          <w:color w:val="000000" w:themeColor="text1"/>
          <w14:textFill>
            <w14:solidFill>
              <w14:schemeClr w14:val="tx1"/>
            </w14:solidFill>
          </w14:textFill>
        </w:rPr>
        <w:t>沟通：能够就复杂环境工程问题与业界同行及社会公众进行有效沟通和交流，包括撰写报告、设计文稿及图纸、陈述发言、清晰表达或回应指令。具备一定的国际视野，能就环境工程问题在跨文化背景下进行沟通和交流。</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10-1</w:t>
      </w:r>
      <w:r>
        <w:rPr>
          <w:rFonts w:hint="default"/>
          <w:color w:val="000000" w:themeColor="text1"/>
          <w14:textFill>
            <w14:solidFill>
              <w14:schemeClr w14:val="tx1"/>
            </w14:solidFill>
          </w14:textFill>
        </w:rPr>
        <w:t>：能够通过口头、设计文稿及图纸等方式表达自己的观点，回应质疑，理解与业界同行和社会公众交流的差异性；</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10-2</w:t>
      </w:r>
      <w:r>
        <w:rPr>
          <w:rFonts w:hint="default"/>
          <w:color w:val="000000" w:themeColor="text1"/>
          <w14:textFill>
            <w14:solidFill>
              <w14:schemeClr w14:val="tx1"/>
            </w14:solidFill>
          </w14:textFill>
        </w:rPr>
        <w:t xml:space="preserve">：能通过阅读和交流，了解环保领域的国际发展趋势、研究热点，理解和尊重世界不同文化的差异性和多样性； </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10-3</w:t>
      </w:r>
      <w:r>
        <w:rPr>
          <w:rFonts w:hint="default"/>
          <w:color w:val="000000" w:themeColor="text1"/>
          <w14:textFill>
            <w14:solidFill>
              <w14:schemeClr w14:val="tx1"/>
            </w14:solidFill>
          </w14:textFill>
        </w:rPr>
        <w:t>：具有一定的外语应用能力，能够用外语就环境工程领域专业问题进行口头和书面等形式的表达和交流。</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11.</w:t>
      </w:r>
      <w:r>
        <w:rPr>
          <w:rFonts w:hint="default"/>
          <w:color w:val="000000" w:themeColor="text1"/>
          <w14:textFill>
            <w14:solidFill>
              <w14:schemeClr w14:val="tx1"/>
            </w14:solidFill>
          </w14:textFill>
        </w:rPr>
        <w:t>项目管理：理解并掌握工程管理原理与经济决策方法，并能在多学科环境中应用。</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11-1</w:t>
      </w:r>
      <w:r>
        <w:rPr>
          <w:rFonts w:hint="default"/>
          <w:color w:val="000000" w:themeColor="text1"/>
          <w14:textFill>
            <w14:solidFill>
              <w14:schemeClr w14:val="tx1"/>
            </w14:solidFill>
          </w14:textFill>
        </w:rPr>
        <w:t>：理解工程管理与经济决策的重要性，并掌握环境工程项目中涉及的工程管理原理与经济决策方法；</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11-2</w:t>
      </w:r>
      <w:r>
        <w:rPr>
          <w:rFonts w:hint="default"/>
          <w:color w:val="000000" w:themeColor="text1"/>
          <w14:textFill>
            <w14:solidFill>
              <w14:schemeClr w14:val="tx1"/>
            </w14:solidFill>
          </w14:textFill>
        </w:rPr>
        <w:t xml:space="preserve">：能够将工程管理原理与经济决策方法应用于环境工程设计及工艺优化中。  </w:t>
      </w:r>
    </w:p>
    <w:p>
      <w:pPr>
        <w:pStyle w:val="12"/>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12.</w:t>
      </w:r>
      <w:r>
        <w:rPr>
          <w:rFonts w:hint="default"/>
          <w:color w:val="000000" w:themeColor="text1"/>
          <w14:textFill>
            <w14:solidFill>
              <w14:schemeClr w14:val="tx1"/>
            </w14:solidFill>
          </w14:textFill>
        </w:rPr>
        <w:t>终身学习：具有自主学习和终身学习的意识，有不断学习和适应发展的能力。</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12-1</w:t>
      </w:r>
      <w:r>
        <w:rPr>
          <w:rFonts w:hint="default"/>
          <w:color w:val="000000" w:themeColor="text1"/>
          <w14:textFill>
            <w14:solidFill>
              <w14:schemeClr w14:val="tx1"/>
            </w14:solidFill>
          </w14:textFill>
        </w:rPr>
        <w:t>：能在社会发展的大背景下，对自主和终身学习的必要性有正确的认识；</w:t>
      </w:r>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指标点</w:t>
      </w:r>
      <w:r>
        <w:rPr>
          <w:rFonts w:hint="default"/>
          <w:color w:val="000000" w:themeColor="text1"/>
          <w:lang w:val="en-US" w:eastAsia="zh-CN"/>
          <w14:textFill>
            <w14:solidFill>
              <w14:schemeClr w14:val="tx1"/>
            </w14:solidFill>
          </w14:textFill>
        </w:rPr>
        <w:t>12-2</w:t>
      </w:r>
      <w:r>
        <w:rPr>
          <w:rFonts w:hint="default"/>
          <w:color w:val="000000" w:themeColor="text1"/>
          <w14:textFill>
            <w14:solidFill>
              <w14:schemeClr w14:val="tx1"/>
            </w14:solidFill>
          </w14:textFill>
        </w:rPr>
        <w:t>：能够采取适合的方式自主学习，发展自身能力。</w:t>
      </w:r>
    </w:p>
    <w:p>
      <w:pPr>
        <w:pStyle w:val="3"/>
        <w:bidi w:val="0"/>
        <w:rPr>
          <w:rFonts w:hint="default"/>
          <w:color w:val="000000" w:themeColor="text1"/>
          <w14:textFill>
            <w14:solidFill>
              <w14:schemeClr w14:val="tx1"/>
            </w14:solidFill>
          </w14:textFill>
        </w:rPr>
      </w:pPr>
      <w:bookmarkStart w:id="6" w:name="_Toc11635"/>
      <w:r>
        <w:rPr>
          <w:rFonts w:hint="default"/>
          <w:color w:val="000000" w:themeColor="text1"/>
          <w14:textFill>
            <w14:solidFill>
              <w14:schemeClr w14:val="tx1"/>
            </w14:solidFill>
          </w14:textFill>
        </w:rPr>
        <w:t>三、毕业条件</w:t>
      </w:r>
      <w:bookmarkEnd w:id="6"/>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完成总学分178，其中理论教学和实践教学168学分，第二课堂10学分（详见教学体系结构学分分布），并且达到《国家学生体质健康标准》合格要求。</w:t>
      </w:r>
    </w:p>
    <w:p>
      <w:pPr>
        <w:pStyle w:val="3"/>
        <w:bidi w:val="0"/>
        <w:rPr>
          <w:rFonts w:hint="default"/>
          <w:color w:val="000000" w:themeColor="text1"/>
          <w14:textFill>
            <w14:solidFill>
              <w14:schemeClr w14:val="tx1"/>
            </w14:solidFill>
          </w14:textFill>
        </w:rPr>
      </w:pPr>
      <w:bookmarkStart w:id="7" w:name="_Toc19037"/>
      <w:r>
        <w:rPr>
          <w:rFonts w:hint="default"/>
          <w:color w:val="000000" w:themeColor="text1"/>
          <w14:textFill>
            <w14:solidFill>
              <w14:schemeClr w14:val="tx1"/>
            </w14:solidFill>
          </w14:textFill>
        </w:rPr>
        <w:t>四、学士学位授予条件</w:t>
      </w:r>
      <w:bookmarkEnd w:id="7"/>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政治思想表现良好，符合毕业条件，平均学分绩点须达到学校规定标准。</w:t>
      </w:r>
    </w:p>
    <w:p>
      <w:pPr>
        <w:pStyle w:val="3"/>
        <w:bidi w:val="0"/>
        <w:rPr>
          <w:rFonts w:hint="default"/>
          <w:color w:val="000000" w:themeColor="text1"/>
          <w14:textFill>
            <w14:solidFill>
              <w14:schemeClr w14:val="tx1"/>
            </w14:solidFill>
          </w14:textFill>
        </w:rPr>
      </w:pPr>
      <w:bookmarkStart w:id="8" w:name="_Toc29"/>
      <w:r>
        <w:rPr>
          <w:rFonts w:hint="default"/>
          <w:color w:val="000000" w:themeColor="text1"/>
          <w14:textFill>
            <w14:solidFill>
              <w14:schemeClr w14:val="tx1"/>
            </w14:solidFill>
          </w14:textFill>
        </w:rPr>
        <w:t>五、学制与学位</w:t>
      </w:r>
      <w:bookmarkEnd w:id="8"/>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学制四年，授予工学学士学位。</w:t>
      </w:r>
    </w:p>
    <w:p>
      <w:pPr>
        <w:pStyle w:val="3"/>
        <w:bidi w:val="0"/>
        <w:rPr>
          <w:rFonts w:hint="default"/>
          <w:color w:val="000000" w:themeColor="text1"/>
          <w14:textFill>
            <w14:solidFill>
              <w14:schemeClr w14:val="tx1"/>
            </w14:solidFill>
          </w14:textFill>
        </w:rPr>
      </w:pPr>
      <w:bookmarkStart w:id="9" w:name="_Toc595"/>
      <w:r>
        <w:rPr>
          <w:rFonts w:hint="default"/>
          <w:color w:val="000000" w:themeColor="text1"/>
          <w14:textFill>
            <w14:solidFill>
              <w14:schemeClr w14:val="tx1"/>
            </w14:solidFill>
          </w14:textFill>
        </w:rPr>
        <w:t>六、主干学科</w:t>
      </w:r>
      <w:bookmarkEnd w:id="9"/>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主干学科：环境工程</w:t>
      </w:r>
    </w:p>
    <w:p>
      <w:pPr>
        <w:pStyle w:val="3"/>
        <w:bidi w:val="0"/>
        <w:rPr>
          <w:rFonts w:hint="default"/>
          <w:color w:val="000000" w:themeColor="text1"/>
          <w14:textFill>
            <w14:solidFill>
              <w14:schemeClr w14:val="tx1"/>
            </w14:solidFill>
          </w14:textFill>
        </w:rPr>
      </w:pPr>
      <w:bookmarkStart w:id="10" w:name="_Toc30331"/>
      <w:r>
        <w:rPr>
          <w:rFonts w:hint="default"/>
          <w:color w:val="000000" w:themeColor="text1"/>
          <w14:textFill>
            <w14:solidFill>
              <w14:schemeClr w14:val="tx1"/>
            </w14:solidFill>
          </w14:textFill>
        </w:rPr>
        <w:t>七、核心课程</w:t>
      </w:r>
      <w:bookmarkEnd w:id="10"/>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环境工程微生物、环境监测、环境工程原理、水污染控制工程、大气污染控制工程、固体废物处理与处置、物理性污染控制、环境影响评价、环境规划与管理。</w:t>
      </w:r>
    </w:p>
    <w:p>
      <w:pP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br w:type="page"/>
      </w:r>
    </w:p>
    <w:p>
      <w:pPr>
        <w:pStyle w:val="3"/>
        <w:bidi w:val="0"/>
        <w:rPr>
          <w:rFonts w:hint="default"/>
          <w:color w:val="000000" w:themeColor="text1"/>
          <w14:textFill>
            <w14:solidFill>
              <w14:schemeClr w14:val="tx1"/>
            </w14:solidFill>
          </w14:textFill>
        </w:rPr>
      </w:pPr>
      <w:bookmarkStart w:id="11" w:name="_Toc14873"/>
      <w:r>
        <w:rPr>
          <w:rFonts w:hint="default"/>
          <w:color w:val="000000" w:themeColor="text1"/>
          <w14:textFill>
            <w14:solidFill>
              <w14:schemeClr w14:val="tx1"/>
            </w14:solidFill>
          </w14:textFill>
        </w:rPr>
        <w:t>八、教学体系结构</w:t>
      </w:r>
      <w:bookmarkEnd w:id="11"/>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889"/>
        <w:gridCol w:w="2015"/>
        <w:gridCol w:w="815"/>
        <w:gridCol w:w="701"/>
        <w:gridCol w:w="759"/>
        <w:gridCol w:w="778"/>
        <w:gridCol w:w="1019"/>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601" w:type="dxa"/>
            <w:gridSpan w:val="2"/>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体系</w:t>
            </w:r>
          </w:p>
        </w:tc>
        <w:tc>
          <w:tcPr>
            <w:tcW w:w="2015"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知识体系</w:t>
            </w:r>
          </w:p>
        </w:tc>
        <w:tc>
          <w:tcPr>
            <w:tcW w:w="1516"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必修课程</w:t>
            </w:r>
          </w:p>
        </w:tc>
        <w:tc>
          <w:tcPr>
            <w:tcW w:w="1537" w:type="dxa"/>
            <w:gridSpan w:val="2"/>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选修课程</w:t>
            </w:r>
          </w:p>
        </w:tc>
        <w:tc>
          <w:tcPr>
            <w:tcW w:w="1019"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总学分</w:t>
            </w:r>
          </w:p>
        </w:tc>
        <w:tc>
          <w:tcPr>
            <w:tcW w:w="1250"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比例</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601" w:type="dxa"/>
            <w:gridSpan w:val="2"/>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2015"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15" w:type="dxa"/>
            <w:noWrap w:val="0"/>
            <w:tcMar>
              <w:left w:w="28" w:type="dxa"/>
              <w:right w:w="28"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学时</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学分</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学时</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学分</w:t>
            </w:r>
          </w:p>
        </w:tc>
        <w:tc>
          <w:tcPr>
            <w:tcW w:w="1019"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1250"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理</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论</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w:t>
            </w:r>
          </w:p>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学</w:t>
            </w:r>
          </w:p>
        </w:tc>
        <w:tc>
          <w:tcPr>
            <w:tcW w:w="889" w:type="dxa"/>
            <w:vMerge w:val="restart"/>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通识</w:t>
            </w:r>
          </w:p>
          <w:p>
            <w:pPr>
              <w:spacing w:line="240" w:lineRule="exac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tc>
        <w:tc>
          <w:tcPr>
            <w:tcW w:w="2015"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人文社会科学</w:t>
            </w:r>
          </w:p>
        </w:tc>
        <w:tc>
          <w:tcPr>
            <w:tcW w:w="815"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602</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30.5</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16</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31.5</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89"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2015"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数学和自然科学</w:t>
            </w:r>
          </w:p>
        </w:tc>
        <w:tc>
          <w:tcPr>
            <w:tcW w:w="815"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384</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24</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64</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28</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89"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2015"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创新创业课</w:t>
            </w:r>
          </w:p>
        </w:tc>
        <w:tc>
          <w:tcPr>
            <w:tcW w:w="815"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36</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89" w:type="dxa"/>
            <w:vMerge w:val="continue"/>
            <w:noWrap w:val="0"/>
            <w:tcMar>
              <w:left w:w="57" w:type="dxa"/>
              <w:right w:w="57" w:type="dxa"/>
            </w:tcMar>
            <w:vAlign w:val="center"/>
          </w:tcPr>
          <w:p>
            <w:pPr>
              <w:spacing w:line="240" w:lineRule="exac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2015"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公共选修课</w:t>
            </w:r>
          </w:p>
        </w:tc>
        <w:tc>
          <w:tcPr>
            <w:tcW w:w="815"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96</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6</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6</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continue"/>
            <w:shd w:val="clear" w:color="auto" w:fill="auto"/>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89" w:type="dxa"/>
            <w:vMerge w:val="continue"/>
            <w:shd w:val="clear" w:color="auto" w:fill="auto"/>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2015" w:type="dxa"/>
            <w:shd w:val="clear" w:color="auto" w:fill="auto"/>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小计</w:t>
            </w:r>
          </w:p>
        </w:tc>
        <w:tc>
          <w:tcPr>
            <w:tcW w:w="815" w:type="dxa"/>
            <w:shd w:val="clear" w:color="auto" w:fill="auto"/>
            <w:noWrap w:val="0"/>
            <w:tcMar>
              <w:left w:w="28" w:type="dxa"/>
              <w:right w:w="28"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1022</w:t>
            </w:r>
          </w:p>
        </w:tc>
        <w:tc>
          <w:tcPr>
            <w:tcW w:w="701" w:type="dxa"/>
            <w:shd w:val="clear" w:color="auto" w:fill="auto"/>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56.5</w:t>
            </w:r>
          </w:p>
        </w:tc>
        <w:tc>
          <w:tcPr>
            <w:tcW w:w="759" w:type="dxa"/>
            <w:shd w:val="clear" w:color="auto" w:fill="auto"/>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176</w:t>
            </w:r>
          </w:p>
        </w:tc>
        <w:tc>
          <w:tcPr>
            <w:tcW w:w="778" w:type="dxa"/>
            <w:shd w:val="clear" w:color="auto" w:fill="FFFFFF"/>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11</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67.5</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89" w:type="dxa"/>
            <w:vMerge w:val="restart"/>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专业</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color w:val="000000" w:themeColor="text1"/>
                <w:sz w:val="18"/>
                <w:szCs w:val="18"/>
                <w:highlight w:val="none"/>
                <w14:textFill>
                  <w14:solidFill>
                    <w14:schemeClr w14:val="tx1"/>
                  </w14:solidFill>
                </w14:textFill>
              </w:rPr>
              <w:t>教育</w:t>
            </w:r>
          </w:p>
        </w:tc>
        <w:tc>
          <w:tcPr>
            <w:tcW w:w="2015"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学科基础课</w:t>
            </w:r>
          </w:p>
        </w:tc>
        <w:tc>
          <w:tcPr>
            <w:tcW w:w="815"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362</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22.5</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90</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5.5</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28</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89"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2015"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pacing w:val="-6"/>
                <w:sz w:val="18"/>
                <w:szCs w:val="18"/>
                <w:highlight w:val="none"/>
                <w14:textFill>
                  <w14:solidFill>
                    <w14:schemeClr w14:val="tx1"/>
                  </w14:solidFill>
                </w14:textFill>
              </w:rPr>
              <w:t>专业课（含专业方向课）</w:t>
            </w:r>
          </w:p>
        </w:tc>
        <w:tc>
          <w:tcPr>
            <w:tcW w:w="815" w:type="dxa"/>
            <w:noWrap w:val="0"/>
            <w:tcMar>
              <w:left w:w="28" w:type="dxa"/>
              <w:right w:w="28"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eastAsia" w:cs="Times New Roman"/>
                <w:color w:val="000000" w:themeColor="text1"/>
                <w:sz w:val="18"/>
                <w:szCs w:val="18"/>
                <w:highlight w:val="none"/>
                <w:lang w:val="en-US" w:eastAsia="zh-CN"/>
                <w14:textFill>
                  <w14:solidFill>
                    <w14:schemeClr w14:val="tx1"/>
                  </w14:solidFill>
                </w14:textFill>
              </w:rPr>
              <w:t>488</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30</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16</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31</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712" w:type="dxa"/>
            <w:vMerge w:val="continue"/>
            <w:noWrap w:val="0"/>
            <w:tcMar>
              <w:left w:w="57" w:type="dxa"/>
              <w:right w:w="57" w:type="dxa"/>
            </w:tcMar>
            <w:vAlign w:val="center"/>
          </w:tcPr>
          <w:p>
            <w:pPr>
              <w:spacing w:line="240" w:lineRule="atLeast"/>
              <w:jc w:val="center"/>
              <w:rPr>
                <w:rFonts w:hint="default" w:ascii="Times New Roman" w:hAnsi="Times New Roman" w:cs="Times New Roman"/>
                <w:b/>
                <w:color w:val="000000" w:themeColor="text1"/>
                <w:sz w:val="18"/>
                <w:szCs w:val="18"/>
                <w:highlight w:val="none"/>
                <w14:textFill>
                  <w14:solidFill>
                    <w14:schemeClr w14:val="tx1"/>
                  </w14:solidFill>
                </w14:textFill>
              </w:rPr>
            </w:pPr>
          </w:p>
        </w:tc>
        <w:tc>
          <w:tcPr>
            <w:tcW w:w="889"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2015"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小计</w:t>
            </w:r>
          </w:p>
        </w:tc>
        <w:tc>
          <w:tcPr>
            <w:tcW w:w="815" w:type="dxa"/>
            <w:noWrap w:val="0"/>
            <w:tcMar>
              <w:left w:w="28" w:type="dxa"/>
              <w:right w:w="28"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eastAsia" w:cs="Times New Roman"/>
                <w:b/>
                <w:bCs/>
                <w:color w:val="000000" w:themeColor="text1"/>
                <w:sz w:val="18"/>
                <w:szCs w:val="18"/>
                <w:highlight w:val="none"/>
                <w:lang w:val="en-US" w:eastAsia="zh-CN"/>
                <w14:textFill>
                  <w14:solidFill>
                    <w14:schemeClr w14:val="tx1"/>
                  </w14:solidFill>
                </w14:textFill>
              </w:rPr>
              <w:t>850</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52.5</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106</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6.5</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59</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712" w:type="dxa"/>
            <w:vMerge w:val="continue"/>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p>
        </w:tc>
        <w:tc>
          <w:tcPr>
            <w:tcW w:w="2904" w:type="dxa"/>
            <w:gridSpan w:val="2"/>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合计</w:t>
            </w:r>
          </w:p>
        </w:tc>
        <w:tc>
          <w:tcPr>
            <w:tcW w:w="815" w:type="dxa"/>
            <w:noWrap w:val="0"/>
            <w:tcMar>
              <w:left w:w="28" w:type="dxa"/>
              <w:right w:w="28"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18</w:t>
            </w:r>
            <w:r>
              <w:rPr>
                <w:rFonts w:hint="eastAsia" w:cs="Times New Roman"/>
                <w:b/>
                <w:bCs/>
                <w:color w:val="000000" w:themeColor="text1"/>
                <w:sz w:val="18"/>
                <w:szCs w:val="18"/>
                <w:highlight w:val="none"/>
                <w:lang w:val="en-US" w:eastAsia="zh-CN"/>
                <w14:textFill>
                  <w14:solidFill>
                    <w14:schemeClr w14:val="tx1"/>
                  </w14:solidFill>
                </w14:textFill>
              </w:rPr>
              <w:t>72</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109</w:t>
            </w:r>
          </w:p>
        </w:tc>
        <w:tc>
          <w:tcPr>
            <w:tcW w:w="75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282</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17.5</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126.5</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jc w:val="center"/>
        </w:trPr>
        <w:tc>
          <w:tcPr>
            <w:tcW w:w="712"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实践</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教学</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（含劳动教</w:t>
            </w:r>
          </w:p>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 xml:space="preserve">育） </w:t>
            </w:r>
          </w:p>
        </w:tc>
        <w:tc>
          <w:tcPr>
            <w:tcW w:w="2904"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入学教育、军训、公益劳动、思政课实践、实验、实习、实训、设计、毕业教育等及其包含的劳动教育</w:t>
            </w:r>
          </w:p>
        </w:tc>
        <w:tc>
          <w:tcPr>
            <w:tcW w:w="815" w:type="dxa"/>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33周+262</w:t>
            </w:r>
          </w:p>
        </w:tc>
        <w:tc>
          <w:tcPr>
            <w:tcW w:w="701"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40.5</w:t>
            </w:r>
          </w:p>
        </w:tc>
        <w:tc>
          <w:tcPr>
            <w:tcW w:w="759" w:type="dxa"/>
            <w:noWrap w:val="0"/>
            <w:tcMar>
              <w:left w:w="57" w:type="dxa"/>
              <w:right w:w="57" w:type="dxa"/>
            </w:tcMar>
            <w:vAlign w:val="center"/>
          </w:tcPr>
          <w:p>
            <w:pPr>
              <w:spacing w:line="240" w:lineRule="atLeast"/>
              <w:ind w:firstLine="90" w:firstLineChars="50"/>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1周</w:t>
            </w:r>
          </w:p>
        </w:tc>
        <w:tc>
          <w:tcPr>
            <w:tcW w:w="778"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w:t>
            </w:r>
          </w:p>
        </w:tc>
        <w:tc>
          <w:tcPr>
            <w:tcW w:w="1019" w:type="dxa"/>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41.5</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6669" w:type="dxa"/>
            <w:gridSpan w:val="7"/>
            <w:noWrap w:val="0"/>
            <w:tcMar>
              <w:left w:w="57" w:type="dxa"/>
              <w:right w:w="57" w:type="dxa"/>
            </w:tcMar>
            <w:vAlign w:val="center"/>
          </w:tcPr>
          <w:p>
            <w:pPr>
              <w:tabs>
                <w:tab w:val="left" w:pos="3552"/>
              </w:tabs>
              <w:spacing w:line="240" w:lineRule="atLeast"/>
              <w:jc w:val="left"/>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eastAsia="zh-CN"/>
                <w14:textFill>
                  <w14:solidFill>
                    <w14:schemeClr w14:val="tx1"/>
                  </w14:solidFill>
                </w14:textFill>
              </w:rPr>
              <w:tab/>
            </w: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总计</w:t>
            </w:r>
          </w:p>
        </w:tc>
        <w:tc>
          <w:tcPr>
            <w:tcW w:w="1019"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168</w:t>
            </w:r>
          </w:p>
        </w:tc>
        <w:tc>
          <w:tcPr>
            <w:tcW w:w="1250" w:type="dxa"/>
            <w:noWrap w:val="0"/>
            <w:tcMar>
              <w:left w:w="57" w:type="dxa"/>
              <w:right w:w="57" w:type="dxa"/>
            </w:tcMar>
            <w:vAlign w:val="center"/>
          </w:tcPr>
          <w:p>
            <w:pPr>
              <w:spacing w:line="240" w:lineRule="atLeast"/>
              <w:jc w:val="center"/>
              <w:rPr>
                <w:rFonts w:hint="default" w:ascii="Times New Roman" w:hAnsi="Times New Roman" w:eastAsia="宋体" w:cs="Times New Roman"/>
                <w:b/>
                <w:bCs/>
                <w:color w:val="000000" w:themeColor="text1"/>
                <w:sz w:val="18"/>
                <w:szCs w:val="18"/>
                <w:highlight w:val="none"/>
                <w:lang w:val="en-US" w:eastAsia="zh-CN"/>
                <w14:textFill>
                  <w14:solidFill>
                    <w14:schemeClr w14:val="tx1"/>
                  </w14:solidFill>
                </w14:textFill>
              </w:rPr>
            </w:pPr>
            <w:r>
              <w:rPr>
                <w:rFonts w:hint="default" w:ascii="Times New Roman" w:hAnsi="Times New Roman" w:cs="Times New Roman"/>
                <w:b/>
                <w:bCs/>
                <w:color w:val="000000" w:themeColor="text1"/>
                <w:sz w:val="18"/>
                <w:szCs w:val="18"/>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12" w:type="dxa"/>
            <w:noWrap w:val="0"/>
            <w:tcMar>
              <w:left w:w="57" w:type="dxa"/>
              <w:right w:w="57" w:type="dxa"/>
            </w:tcMar>
            <w:vAlign w:val="center"/>
          </w:tcPr>
          <w:p>
            <w:pPr>
              <w:spacing w:line="240" w:lineRule="atLeas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第二</w:t>
            </w:r>
          </w:p>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课堂</w:t>
            </w:r>
          </w:p>
        </w:tc>
        <w:tc>
          <w:tcPr>
            <w:tcW w:w="2904" w:type="dxa"/>
            <w:gridSpan w:val="2"/>
            <w:noWrap w:val="0"/>
            <w:tcMar>
              <w:left w:w="57" w:type="dxa"/>
              <w:right w:w="57"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思想道德教育、专业能力拓展、体美教育、劳动教育</w:t>
            </w:r>
          </w:p>
        </w:tc>
        <w:tc>
          <w:tcPr>
            <w:tcW w:w="5322" w:type="dxa"/>
            <w:gridSpan w:val="6"/>
            <w:noWrap w:val="0"/>
            <w:tcMar>
              <w:left w:w="28" w:type="dxa"/>
              <w:right w:w="28" w:type="dxa"/>
            </w:tcMar>
            <w:vAlign w:val="center"/>
          </w:tcPr>
          <w:p>
            <w:pPr>
              <w:spacing w:line="240" w:lineRule="atLeas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10学分</w:t>
            </w: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备注：本表中理论教学含附设的实验、上机实践教学学分。</w:t>
      </w:r>
    </w:p>
    <w:p>
      <w:pPr>
        <w:spacing w:line="340" w:lineRule="atLeast"/>
        <w:ind w:firstLine="360" w:firstLineChars="200"/>
        <w:rPr>
          <w:rFonts w:hint="default" w:ascii="Times New Roman" w:hAnsi="Times New Roman" w:eastAsia="仿宋_GB2312" w:cs="Times New Roman"/>
          <w:color w:val="000000" w:themeColor="text1"/>
          <w:sz w:val="18"/>
          <w:highlight w:val="none"/>
          <w14:textFill>
            <w14:solidFill>
              <w14:schemeClr w14:val="tx1"/>
            </w14:solidFill>
          </w14:textFill>
        </w:rPr>
      </w:pPr>
    </w:p>
    <w:p>
      <w:pPr>
        <w:pStyle w:val="3"/>
        <w:bidi w:val="0"/>
        <w:rPr>
          <w:rFonts w:hint="default" w:ascii="Times New Roman" w:hAnsi="Times New Roman" w:eastAsia="黑体" w:cs="Times New Roman"/>
          <w:bCs/>
          <w:color w:val="000000" w:themeColor="text1"/>
          <w:sz w:val="32"/>
          <w:szCs w:val="52"/>
          <w:highlight w:val="none"/>
          <w14:textFill>
            <w14:solidFill>
              <w14:schemeClr w14:val="tx1"/>
            </w14:solidFill>
          </w14:textFill>
        </w:rPr>
      </w:pPr>
      <w:r>
        <w:rPr>
          <w:rFonts w:hint="default" w:ascii="Times New Roman" w:hAnsi="Times New Roman" w:cs="Times New Roman"/>
          <w:bCs/>
          <w:color w:val="000000" w:themeColor="text1"/>
          <w:szCs w:val="21"/>
          <w:highlight w:val="none"/>
          <w14:textFill>
            <w14:solidFill>
              <w14:schemeClr w14:val="tx1"/>
            </w14:solidFill>
          </w14:textFill>
        </w:rPr>
        <w:br w:type="page"/>
      </w:r>
      <w:bookmarkStart w:id="12" w:name="_Toc7602"/>
      <w:r>
        <w:rPr>
          <w:rFonts w:hint="default" w:ascii="Times New Roman" w:hAnsi="Times New Roman" w:eastAsia="黑体" w:cs="Times New Roman"/>
          <w:bCs/>
          <w:color w:val="000000" w:themeColor="text1"/>
          <w:sz w:val="21"/>
          <w:szCs w:val="21"/>
          <w:highlight w:val="none"/>
          <w14:textFill>
            <w14:solidFill>
              <w14:schemeClr w14:val="tx1"/>
            </w14:solidFill>
          </w14:textFill>
        </w:rPr>
        <w:t>九、课程设置表</w:t>
      </w:r>
      <w:bookmarkEnd w:id="12"/>
    </w:p>
    <w:p>
      <w:pPr>
        <w:pStyle w:val="12"/>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专业代码：082502          </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 xml:space="preserve">      专业名称：环境工程</w:t>
      </w:r>
    </w:p>
    <w:tbl>
      <w:tblPr>
        <w:tblStyle w:val="18"/>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290"/>
        <w:gridCol w:w="220"/>
        <w:gridCol w:w="221"/>
        <w:gridCol w:w="770"/>
        <w:gridCol w:w="181"/>
        <w:gridCol w:w="1355"/>
        <w:gridCol w:w="399"/>
        <w:gridCol w:w="382"/>
        <w:gridCol w:w="324"/>
        <w:gridCol w:w="292"/>
        <w:gridCol w:w="277"/>
        <w:gridCol w:w="304"/>
        <w:gridCol w:w="321"/>
        <w:gridCol w:w="338"/>
        <w:gridCol w:w="338"/>
        <w:gridCol w:w="338"/>
        <w:gridCol w:w="338"/>
        <w:gridCol w:w="338"/>
        <w:gridCol w:w="338"/>
        <w:gridCol w:w="338"/>
        <w:gridCol w:w="33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4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95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35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9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79"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2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705"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7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9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61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27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实验/上机</w:t>
            </w:r>
          </w:p>
        </w:tc>
        <w:tc>
          <w:tcPr>
            <w:tcW w:w="3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9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8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27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87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通识教育</w:t>
            </w:r>
          </w:p>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44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B2281010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马克思主义基本</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原理</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B2282020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毛泽东思想和中国特色社会主义理论体系概论</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B2282010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中国近现代史纲要</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B2284010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思想道德修养与法律基础</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A2231010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A2231020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B2210020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大学生心理健康</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教育</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18</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B2141011</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144</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128</w:t>
            </w: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S2210030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B2091190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建工学院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7"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31.5</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数学和自然科学 </w:t>
            </w:r>
          </w:p>
        </w:tc>
        <w:tc>
          <w:tcPr>
            <w:tcW w:w="44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A2011013</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高等数学A </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A2013012</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B2011041</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统计B</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B2011050</w:t>
            </w:r>
          </w:p>
        </w:tc>
        <w:tc>
          <w:tcPr>
            <w:tcW w:w="1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2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A2082232</w:t>
            </w:r>
          </w:p>
        </w:tc>
        <w:tc>
          <w:tcPr>
            <w:tcW w:w="1355"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C/C++语言程序设计</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0" w:type="dxa"/>
            <w:vMerge w:val="continue"/>
            <w:noWrap w:val="0"/>
            <w:tcMar>
              <w:left w:w="28" w:type="dxa"/>
              <w:right w:w="28" w:type="dxa"/>
            </w:tcMar>
            <w:vAlign w:val="bottom"/>
          </w:tcPr>
          <w:p>
            <w:pPr>
              <w:pStyle w:val="27"/>
              <w:bidi w:val="0"/>
              <w:rPr>
                <w:rFonts w:hint="default"/>
                <w:color w:val="000000" w:themeColor="text1"/>
                <w14:textFill>
                  <w14:solidFill>
                    <w14:schemeClr w14:val="tx1"/>
                  </w14:solidFill>
                </w14:textFill>
              </w:rPr>
            </w:pPr>
          </w:p>
        </w:tc>
        <w:tc>
          <w:tcPr>
            <w:tcW w:w="221" w:type="dxa"/>
            <w:vMerge w:val="restart"/>
            <w:noWrap w:val="0"/>
            <w:tcMar>
              <w:left w:w="28" w:type="dxa"/>
              <w:right w:w="28" w:type="dxa"/>
            </w:tcMar>
            <w:vAlign w:val="bottom"/>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任选</w:t>
            </w: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C2199030</w:t>
            </w:r>
          </w:p>
        </w:tc>
        <w:tc>
          <w:tcPr>
            <w:tcW w:w="1355"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安全工程概论</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B2031080</w:t>
            </w:r>
          </w:p>
        </w:tc>
        <w:tc>
          <w:tcPr>
            <w:tcW w:w="1355"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矿业工程概论</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95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B2095240</w:t>
            </w:r>
          </w:p>
        </w:tc>
        <w:tc>
          <w:tcPr>
            <w:tcW w:w="1355" w:type="dxa"/>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地球科学概论</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7"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28</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448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183" w:type="dxa"/>
            <w:gridSpan w:val="19"/>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以上课程至少选修4学分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47"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59.5</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1066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w:t>
            </w:r>
          </w:p>
        </w:tc>
        <w:tc>
          <w:tcPr>
            <w:tcW w:w="44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B2211010</w:t>
            </w:r>
          </w:p>
        </w:tc>
        <w:tc>
          <w:tcPr>
            <w:tcW w:w="153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创新</w:t>
            </w: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B2211010</w:t>
            </w:r>
          </w:p>
        </w:tc>
        <w:tc>
          <w:tcPr>
            <w:tcW w:w="153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B2201020</w:t>
            </w:r>
          </w:p>
        </w:tc>
        <w:tc>
          <w:tcPr>
            <w:tcW w:w="153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创造性思维与创新</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方法</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70"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B2201030</w:t>
            </w:r>
          </w:p>
        </w:tc>
        <w:tc>
          <w:tcPr>
            <w:tcW w:w="153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本科研讨课</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41"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0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36</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7"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公共选修课</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96</w:t>
            </w:r>
          </w:p>
        </w:tc>
        <w:tc>
          <w:tcPr>
            <w:tcW w:w="4223" w:type="dxa"/>
            <w:gridSpan w:val="13"/>
            <w:noWrap w:val="0"/>
            <w:tcMar>
              <w:left w:w="28" w:type="dxa"/>
              <w:right w:w="28" w:type="dxa"/>
            </w:tcMar>
            <w:vAlign w:val="center"/>
          </w:tcPr>
          <w:p>
            <w:pPr>
              <w:pStyle w:val="27"/>
              <w:bidi w:val="0"/>
              <w:jc w:val="lef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于1-7学期开设，开设人文社会科学、数学和自然科学等方面课程，涵盖创新创业、人文社科、经济管理、科学技术、艺术教育等知识内容。学生至少选修6个学分，其中要有2个公共艺术课程学分。</w:t>
            </w: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7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37" w:type="dxa"/>
            <w:gridSpan w:val="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  计</w:t>
            </w:r>
          </w:p>
        </w:tc>
        <w:tc>
          <w:tcPr>
            <w:tcW w:w="39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67.5</w:t>
            </w:r>
          </w:p>
        </w:tc>
        <w:tc>
          <w:tcPr>
            <w:tcW w:w="38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1198</w:t>
            </w:r>
          </w:p>
        </w:tc>
        <w:tc>
          <w:tcPr>
            <w:tcW w:w="3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7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spacing w:after="156" w:afterLines="50" w:line="360" w:lineRule="auto"/>
        <w:rPr>
          <w:rFonts w:hint="default" w:ascii="Times New Roman" w:hAnsi="Times New Roman" w:eastAsia="仿宋_GB2312" w:cs="Times New Roman"/>
          <w:color w:val="000000" w:themeColor="text1"/>
          <w:szCs w:val="21"/>
          <w:highlight w:val="none"/>
          <w14:textFill>
            <w14:solidFill>
              <w14:schemeClr w14:val="tx1"/>
            </w14:solidFill>
          </w14:textFill>
        </w:rPr>
      </w:pPr>
    </w:p>
    <w:p>
      <w:pPr>
        <w:spacing w:after="156" w:afterLines="50" w:line="360" w:lineRule="auto"/>
        <w:ind w:firstLine="643" w:firstLineChars="200"/>
        <w:rPr>
          <w:rFonts w:hint="default" w:ascii="Times New Roman" w:hAnsi="Times New Roman" w:eastAsia="仿宋_GB2312" w:cs="Times New Roman"/>
          <w:b/>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 xml:space="preserve"> </w:t>
      </w:r>
    </w:p>
    <w:p>
      <w:pPr>
        <w:pStyle w:val="12"/>
        <w:bidi w:val="0"/>
        <w:rPr>
          <w:rStyle w:val="28"/>
          <w:rFonts w:hint="default"/>
          <w:color w:val="000000" w:themeColor="text1"/>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专业代码：082502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专业名称：环境工程</w:t>
      </w:r>
    </w:p>
    <w:tbl>
      <w:tblPr>
        <w:tblStyle w:val="18"/>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
        <w:gridCol w:w="312"/>
        <w:gridCol w:w="327"/>
        <w:gridCol w:w="327"/>
        <w:gridCol w:w="769"/>
        <w:gridCol w:w="1383"/>
        <w:gridCol w:w="297"/>
        <w:gridCol w:w="337"/>
        <w:gridCol w:w="287"/>
        <w:gridCol w:w="284"/>
        <w:gridCol w:w="322"/>
        <w:gridCol w:w="322"/>
        <w:gridCol w:w="319"/>
        <w:gridCol w:w="319"/>
        <w:gridCol w:w="319"/>
        <w:gridCol w:w="319"/>
        <w:gridCol w:w="319"/>
        <w:gridCol w:w="319"/>
        <w:gridCol w:w="319"/>
        <w:gridCol w:w="319"/>
        <w:gridCol w:w="224"/>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1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54"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6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38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29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552"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31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457"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78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571"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2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32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78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38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9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2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78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12"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学科基础</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654"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A2095020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环境工程原理</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A2095030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环境工程微生物</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A2095050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环境生态学</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B2151050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无机与分析化学C</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B2151120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物理化学C</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80</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A2073022</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数字电子技术B</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56</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通信学院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A2014010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制图</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B2080010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信息技术与人工智能概论</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54"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B2191110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应急处置与应急管理概论</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安全学院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32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限选</w:t>
            </w: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B2020050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工程经济与项目</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管理</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B2210010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任选</w:t>
            </w: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A2015070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工程力学B</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58</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B2015092</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流体力学B</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A2151020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有机化学D</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6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A2054940</w:t>
            </w:r>
          </w:p>
        </w:tc>
        <w:tc>
          <w:tcPr>
            <w:tcW w:w="138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机械设计基础B</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56</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48</w:t>
            </w: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3.5</w:t>
            </w: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机械学院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558" w:type="dxa"/>
            <w:gridSpan w:val="18"/>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以上4门课程至少选修5.5学分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31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2"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06"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29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28</w:t>
            </w:r>
          </w:p>
        </w:tc>
        <w:tc>
          <w:tcPr>
            <w:tcW w:w="3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452</w:t>
            </w:r>
          </w:p>
        </w:tc>
        <w:tc>
          <w:tcPr>
            <w:tcW w:w="28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2"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4"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8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Style w:val="28"/>
          <w:rFonts w:hint="default"/>
          <w:color w:val="000000" w:themeColor="text1"/>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专业代码：082502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专业名称：环境工程</w:t>
      </w:r>
    </w:p>
    <w:tbl>
      <w:tblPr>
        <w:tblStyle w:val="18"/>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
        <w:gridCol w:w="316"/>
        <w:gridCol w:w="630"/>
        <w:gridCol w:w="748"/>
        <w:gridCol w:w="1159"/>
        <w:gridCol w:w="355"/>
        <w:gridCol w:w="355"/>
        <w:gridCol w:w="356"/>
        <w:gridCol w:w="357"/>
        <w:gridCol w:w="355"/>
        <w:gridCol w:w="241"/>
        <w:gridCol w:w="236"/>
        <w:gridCol w:w="326"/>
        <w:gridCol w:w="29"/>
        <w:gridCol w:w="237"/>
        <w:gridCol w:w="60"/>
        <w:gridCol w:w="295"/>
        <w:gridCol w:w="31"/>
        <w:gridCol w:w="206"/>
        <w:gridCol w:w="120"/>
        <w:gridCol w:w="235"/>
        <w:gridCol w:w="91"/>
        <w:gridCol w:w="264"/>
        <w:gridCol w:w="62"/>
        <w:gridCol w:w="293"/>
        <w:gridCol w:w="33"/>
        <w:gridCol w:w="333"/>
        <w:gridCol w:w="68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63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性质</w:t>
            </w:r>
          </w:p>
        </w:tc>
        <w:tc>
          <w:tcPr>
            <w:tcW w:w="74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15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5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664"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23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615" w:type="dxa"/>
            <w:gridSpan w:val="1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690" w:type="dxa"/>
            <w:gridSpan w:val="2"/>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15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713"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w:t>
            </w:r>
          </w:p>
        </w:tc>
        <w:tc>
          <w:tcPr>
            <w:tcW w:w="35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24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他</w:t>
            </w:r>
          </w:p>
        </w:tc>
        <w:tc>
          <w:tcPr>
            <w:tcW w:w="23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69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15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线下</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线上</w:t>
            </w: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16周</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690" w:type="dxa"/>
            <w:gridSpan w:val="2"/>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专业教育</w:t>
            </w:r>
          </w:p>
        </w:tc>
        <w:tc>
          <w:tcPr>
            <w:tcW w:w="31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专业课</w:t>
            </w:r>
          </w:p>
        </w:tc>
        <w:tc>
          <w:tcPr>
            <w:tcW w:w="63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必修</w:t>
            </w: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A2095070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水污染控制工程</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A2095060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大气污染控制工程（双语）</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64</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A2095080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固体废物处理与处置</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A2095100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物理性污染控制</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A2095040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环境监测</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B2095040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环境影响评价</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B2095050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专业外语</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A2095110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给排水工程</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B2092280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矿山环境保护与生态修复（双语）</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A2095180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地下水污染与</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修复</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A2095190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生物修复原理与技术</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B2095030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环境规划与管理</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1.5</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A2095200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生态文明与绿色发展</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B2095020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环保设备基础</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B2095150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专业前沿讲座（双语）</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选修</w:t>
            </w: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B2095120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环境遥感与信息技术</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B2095100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环境系统工程</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A2095150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环境地质学</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A2095130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水资源利用与</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保护</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A2095120</w:t>
            </w:r>
          </w:p>
        </w:tc>
        <w:tc>
          <w:tcPr>
            <w:tcW w:w="11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环境工程概预算</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467" w:type="dxa"/>
            <w:gridSpan w:val="26"/>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以上选修课至少修读1学分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1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30"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90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504</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90"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379" w:hRule="atLeast"/>
          <w:jc w:val="center"/>
        </w:trPr>
        <w:tc>
          <w:tcPr>
            <w:tcW w:w="30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53"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合计</w:t>
            </w: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59</w:t>
            </w:r>
          </w:p>
        </w:tc>
        <w:tc>
          <w:tcPr>
            <w:tcW w:w="355" w:type="dxa"/>
            <w:noWrap w:val="0"/>
            <w:tcMar>
              <w:left w:w="28" w:type="dxa"/>
              <w:right w:w="28" w:type="dxa"/>
            </w:tcMar>
            <w:vAlign w:val="center"/>
          </w:tcPr>
          <w:p>
            <w:pPr>
              <w:pStyle w:val="27"/>
              <w:bidi w:val="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956</w:t>
            </w:r>
          </w:p>
        </w:tc>
        <w:tc>
          <w:tcPr>
            <w:tcW w:w="35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37"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66" w:type="dxa"/>
            <w:gridSpan w:val="2"/>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681" w:type="dxa"/>
            <w:tcBorders>
              <w:top w:val="nil"/>
            </w:tcBorders>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Style w:val="28"/>
          <w:rFonts w:hint="default"/>
          <w:color w:val="000000" w:themeColor="text1"/>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专业代码：082502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专业名称：环境工程</w:t>
      </w:r>
    </w:p>
    <w:tbl>
      <w:tblPr>
        <w:tblStyle w:val="18"/>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
        <w:gridCol w:w="355"/>
        <w:gridCol w:w="404"/>
        <w:gridCol w:w="833"/>
        <w:gridCol w:w="1641"/>
        <w:gridCol w:w="339"/>
        <w:gridCol w:w="459"/>
        <w:gridCol w:w="305"/>
        <w:gridCol w:w="267"/>
        <w:gridCol w:w="267"/>
        <w:gridCol w:w="226"/>
        <w:gridCol w:w="346"/>
        <w:gridCol w:w="346"/>
        <w:gridCol w:w="346"/>
        <w:gridCol w:w="346"/>
        <w:gridCol w:w="346"/>
        <w:gridCol w:w="346"/>
        <w:gridCol w:w="346"/>
        <w:gridCol w:w="3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教学体系</w:t>
            </w:r>
          </w:p>
        </w:tc>
        <w:tc>
          <w:tcPr>
            <w:tcW w:w="35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知识体系</w:t>
            </w:r>
          </w:p>
        </w:tc>
        <w:tc>
          <w:tcPr>
            <w:tcW w:w="4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性</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质</w:t>
            </w:r>
          </w:p>
        </w:tc>
        <w:tc>
          <w:tcPr>
            <w:tcW w:w="833"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编号</w:t>
            </w:r>
          </w:p>
        </w:tc>
        <w:tc>
          <w:tcPr>
            <w:tcW w:w="164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课程名称</w:t>
            </w:r>
          </w:p>
        </w:tc>
        <w:tc>
          <w:tcPr>
            <w:tcW w:w="33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分</w:t>
            </w:r>
          </w:p>
        </w:tc>
        <w:tc>
          <w:tcPr>
            <w:tcW w:w="1298"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学时分配</w:t>
            </w:r>
          </w:p>
        </w:tc>
        <w:tc>
          <w:tcPr>
            <w:tcW w:w="226"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核</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方</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式</w:t>
            </w:r>
          </w:p>
        </w:tc>
        <w:tc>
          <w:tcPr>
            <w:tcW w:w="2770"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按学期分布</w:t>
            </w:r>
          </w:p>
        </w:tc>
        <w:tc>
          <w:tcPr>
            <w:tcW w:w="851"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开课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6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9"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时</w:t>
            </w:r>
          </w:p>
        </w:tc>
        <w:tc>
          <w:tcPr>
            <w:tcW w:w="30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实验</w:t>
            </w:r>
          </w:p>
        </w:tc>
        <w:tc>
          <w:tcPr>
            <w:tcW w:w="26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上机</w:t>
            </w:r>
          </w:p>
        </w:tc>
        <w:tc>
          <w:tcPr>
            <w:tcW w:w="267"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其他</w:t>
            </w:r>
          </w:p>
        </w:tc>
        <w:tc>
          <w:tcPr>
            <w:tcW w:w="2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w:t>
            </w:r>
          </w:p>
        </w:tc>
        <w:tc>
          <w:tcPr>
            <w:tcW w:w="85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164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3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59"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0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17周</w:t>
            </w:r>
          </w:p>
        </w:tc>
        <w:tc>
          <w:tcPr>
            <w:tcW w:w="851"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实践教学（含劳动教育）</w:t>
            </w:r>
          </w:p>
        </w:tc>
        <w:tc>
          <w:tcPr>
            <w:tcW w:w="35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独立设课实验</w:t>
            </w:r>
          </w:p>
        </w:tc>
        <w:tc>
          <w:tcPr>
            <w:tcW w:w="4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S2013010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54</w:t>
            </w: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S2280030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0"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每学期4学时讲座</w:t>
            </w: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S2151130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无机及分析化学实验</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S2095240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水气固污染控制实验</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S2095300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环境监测实验</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S2095310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环境工程微生物实验</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S2095280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环境工程原理实验</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0.5</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w:t>
            </w: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233" w:type="dxa"/>
            <w:gridSpan w:val="4"/>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7.5</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198</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集中实践教学环节</w:t>
            </w:r>
          </w:p>
        </w:tc>
        <w:tc>
          <w:tcPr>
            <w:tcW w:w="4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S2210010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S2210020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S2280040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S2210040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S2221010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 xml:space="preserve">金工实习 </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工程训练</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S2095030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环境认识实习+劳动教育</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S2095510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环境生产实习+劳动教育</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S2095200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固体废物处理与处置课程设计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S2095220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大气污染控制工程课程设计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S2095230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水污染控制工程课</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程设计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S2092530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S2092540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S2010020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数学建模∕实验</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S2095140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给排水工程课程设计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S2095210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环境工程原理课程设计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S2210060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公益劳动</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770" w:type="dxa"/>
            <w:gridSpan w:val="8"/>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每学年安排一周</w:t>
            </w: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restart"/>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选</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S2230010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英语翻译与写作训练</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S2083561</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计算机基本技能训练</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计算机</w:t>
            </w:r>
          </w:p>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B2095200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环境工程CAD</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S2092150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科技论文写作训练</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S2095270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环境监测实习</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33"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S2095160</w:t>
            </w:r>
          </w:p>
        </w:tc>
        <w:tc>
          <w:tcPr>
            <w:tcW w:w="164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环境影响评价实习</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1周</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w:t>
            </w: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404"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7958" w:type="dxa"/>
            <w:gridSpan w:val="17"/>
            <w:noWrap w:val="0"/>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以上环节至少选修1学分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338"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55" w:type="dxa"/>
            <w:vMerge w:val="continue"/>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878" w:type="dxa"/>
            <w:gridSpan w:val="3"/>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小计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w:t>
            </w:r>
          </w:p>
        </w:tc>
        <w:tc>
          <w:tcPr>
            <w:tcW w:w="45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34周+64</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jc w:val="center"/>
        </w:trPr>
        <w:tc>
          <w:tcPr>
            <w:tcW w:w="3571" w:type="dxa"/>
            <w:gridSpan w:val="5"/>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总计</w:t>
            </w:r>
          </w:p>
        </w:tc>
        <w:tc>
          <w:tcPr>
            <w:tcW w:w="339"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168</w:t>
            </w:r>
          </w:p>
        </w:tc>
        <w:tc>
          <w:tcPr>
            <w:tcW w:w="459" w:type="dxa"/>
            <w:noWrap w:val="0"/>
            <w:tcMar>
              <w:left w:w="28" w:type="dxa"/>
              <w:right w:w="28" w:type="dxa"/>
            </w:tcMar>
            <w:vAlign w:val="center"/>
          </w:tcPr>
          <w:p>
            <w:pPr>
              <w:pStyle w:val="27"/>
              <w:bidi w:val="0"/>
              <w:rPr>
                <w:rFonts w:hint="default" w:eastAsia="宋体"/>
                <w:color w:val="000000" w:themeColor="text1"/>
                <w:lang w:val="en-US" w:eastAsia="zh-CN"/>
                <w14:textFill>
                  <w14:solidFill>
                    <w14:schemeClr w14:val="tx1"/>
                  </w14:solidFill>
                </w14:textFill>
              </w:rPr>
            </w:pPr>
            <w:r>
              <w:rPr>
                <w:rFonts w:hint="default"/>
                <w:color w:val="000000" w:themeColor="text1"/>
                <w14:textFill>
                  <w14:solidFill>
                    <w14:schemeClr w14:val="tx1"/>
                  </w14:solidFill>
                </w14:textFill>
              </w:rPr>
              <w:t>34周+</w:t>
            </w:r>
            <w:r>
              <w:rPr>
                <w:rFonts w:hint="eastAsia"/>
                <w:color w:val="000000" w:themeColor="text1"/>
                <w:lang w:val="en-US" w:eastAsia="zh-CN"/>
                <w14:textFill>
                  <w14:solidFill>
                    <w14:schemeClr w14:val="tx1"/>
                  </w14:solidFill>
                </w14:textFill>
              </w:rPr>
              <w:t>2154</w:t>
            </w:r>
          </w:p>
        </w:tc>
        <w:tc>
          <w:tcPr>
            <w:tcW w:w="305"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67"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22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6"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348"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c>
          <w:tcPr>
            <w:tcW w:w="851" w:type="dxa"/>
            <w:noWrap w:val="0"/>
            <w:tcMar>
              <w:left w:w="28" w:type="dxa"/>
              <w:right w:w="28" w:type="dxa"/>
            </w:tcMar>
            <w:vAlign w:val="center"/>
          </w:tcPr>
          <w:p>
            <w:pPr>
              <w:pStyle w:val="27"/>
              <w:bidi w:val="0"/>
              <w:rPr>
                <w:rFonts w:hint="default"/>
                <w:color w:val="000000" w:themeColor="text1"/>
                <w14:textFill>
                  <w14:solidFill>
                    <w14:schemeClr w14:val="tx1"/>
                  </w14:solidFill>
                </w14:textFill>
              </w:rPr>
            </w:pPr>
          </w:p>
        </w:tc>
      </w:tr>
    </w:tbl>
    <w:p>
      <w:pPr>
        <w:pStyle w:val="12"/>
        <w:bidi w:val="0"/>
        <w:rPr>
          <w:rStyle w:val="28"/>
          <w:rFonts w:hint="default"/>
          <w:color w:val="000000" w:themeColor="text1"/>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r>
        <w:rPr>
          <w:rStyle w:val="28"/>
          <w:rFonts w:hint="default"/>
          <w:color w:val="000000" w:themeColor="text1"/>
          <w14:textFill>
            <w14:solidFill>
              <w14:schemeClr w14:val="tx1"/>
            </w14:solidFill>
          </w14:textFill>
        </w:rPr>
        <w:t xml:space="preserve">专业代码：082502            </w:t>
      </w:r>
      <w:r>
        <w:rPr>
          <w:rStyle w:val="28"/>
          <w:rFonts w:hint="eastAsia"/>
          <w:color w:val="000000" w:themeColor="text1"/>
          <w:lang w:val="en-US" w:eastAsia="zh-CN"/>
          <w14:textFill>
            <w14:solidFill>
              <w14:schemeClr w14:val="tx1"/>
            </w14:solidFill>
          </w14:textFill>
        </w:rPr>
        <w:t xml:space="preserve">                             </w:t>
      </w:r>
      <w:r>
        <w:rPr>
          <w:rStyle w:val="28"/>
          <w:rFonts w:hint="default"/>
          <w:color w:val="000000" w:themeColor="text1"/>
          <w14:textFill>
            <w14:solidFill>
              <w14:schemeClr w14:val="tx1"/>
            </w14:solidFill>
          </w14:textFill>
        </w:rPr>
        <w:t xml:space="preserve">    专业名称：环境工程</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22"/>
        <w:gridCol w:w="2196"/>
        <w:gridCol w:w="1471"/>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1236"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第二课堂</w:t>
            </w:r>
          </w:p>
        </w:tc>
        <w:tc>
          <w:tcPr>
            <w:tcW w:w="1322" w:type="dxa"/>
            <w:noWrap w:val="0"/>
            <w:tcMar>
              <w:left w:w="28" w:type="dxa"/>
              <w:right w:w="28" w:type="dxa"/>
            </w:tcMar>
            <w:vAlign w:val="center"/>
          </w:tcPr>
          <w:p>
            <w:pPr>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模块</w:t>
            </w:r>
          </w:p>
        </w:tc>
        <w:tc>
          <w:tcPr>
            <w:tcW w:w="2196" w:type="dxa"/>
            <w:noWrap w:val="0"/>
            <w:tcMar>
              <w:left w:w="28" w:type="dxa"/>
              <w:right w:w="28" w:type="dxa"/>
            </w:tcMar>
            <w:vAlign w:val="center"/>
          </w:tcPr>
          <w:p>
            <w:pPr>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内   容</w:t>
            </w:r>
          </w:p>
        </w:tc>
        <w:tc>
          <w:tcPr>
            <w:tcW w:w="1471" w:type="dxa"/>
            <w:noWrap w:val="0"/>
            <w:tcMar>
              <w:left w:w="28" w:type="dxa"/>
              <w:right w:w="28" w:type="dxa"/>
            </w:tcMar>
            <w:vAlign w:val="center"/>
          </w:tcPr>
          <w:p>
            <w:pPr>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要求最低学分</w:t>
            </w:r>
          </w:p>
        </w:tc>
        <w:tc>
          <w:tcPr>
            <w:tcW w:w="2792" w:type="dxa"/>
            <w:noWrap w:val="0"/>
            <w:tcMar>
              <w:left w:w="28" w:type="dxa"/>
              <w:right w:w="28" w:type="dxa"/>
            </w:tcMar>
            <w:vAlign w:val="center"/>
          </w:tcPr>
          <w:p>
            <w:pPr>
              <w:spacing w:line="380" w:lineRule="exact"/>
              <w:jc w:val="center"/>
              <w:rPr>
                <w:rFonts w:hint="default" w:ascii="Times New Roman" w:hAnsi="Times New Roman" w:cs="Times New Roman"/>
                <w:b/>
                <w:bCs/>
                <w:color w:val="000000" w:themeColor="text1"/>
                <w:sz w:val="18"/>
                <w:szCs w:val="18"/>
                <w:highlight w:val="none"/>
                <w14:textFill>
                  <w14:solidFill>
                    <w14:schemeClr w14:val="tx1"/>
                  </w14:solidFill>
                </w14:textFill>
              </w:rPr>
            </w:pPr>
            <w:r>
              <w:rPr>
                <w:rFonts w:hint="default" w:ascii="Times New Roman" w:hAnsi="Times New Roman" w:cs="Times New Roman"/>
                <w:b/>
                <w:bCs/>
                <w:color w:val="000000" w:themeColor="text1"/>
                <w:sz w:val="18"/>
                <w:szCs w:val="18"/>
                <w:highlight w:val="none"/>
                <w14:textFill>
                  <w14:solidFill>
                    <w14:schemeClr w14:val="tx1"/>
                  </w14:solidFill>
                </w14:textFill>
              </w:rPr>
              <w:t>学期安排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思想</w:t>
            </w:r>
          </w:p>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道德</w:t>
            </w:r>
          </w:p>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价值观教育</w:t>
            </w:r>
          </w:p>
        </w:tc>
        <w:tc>
          <w:tcPr>
            <w:tcW w:w="1471"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92" w:type="dxa"/>
            <w:vMerge w:val="restart"/>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第1-8学期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（五年制为第1-10学期）</w:t>
            </w:r>
          </w:p>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分散进行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党团活动</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w:t>
            </w:r>
          </w:p>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能力</w:t>
            </w:r>
          </w:p>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拓展</w:t>
            </w: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71"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≥4</w:t>
            </w: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学科（科技）竞赛</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学术成果</w:t>
            </w:r>
          </w:p>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（专利、论文、获奖）</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专业能力证书</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体美</w:t>
            </w:r>
          </w:p>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体育竞赛</w:t>
            </w:r>
          </w:p>
        </w:tc>
        <w:tc>
          <w:tcPr>
            <w:tcW w:w="1471"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课外体育活动</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艺术展演活动</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校园文化活动</w:t>
            </w:r>
          </w:p>
        </w:tc>
        <w:tc>
          <w:tcPr>
            <w:tcW w:w="1471" w:type="dxa"/>
            <w:vMerge w:val="continue"/>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劳动</w:t>
            </w:r>
          </w:p>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教育</w:t>
            </w:r>
          </w:p>
        </w:tc>
        <w:tc>
          <w:tcPr>
            <w:tcW w:w="2196" w:type="dxa"/>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专业服务</w:t>
            </w:r>
          </w:p>
        </w:tc>
        <w:tc>
          <w:tcPr>
            <w:tcW w:w="1471" w:type="dxa"/>
            <w:vMerge w:val="restart"/>
            <w:noWrap w:val="0"/>
            <w:tcMar>
              <w:left w:w="28" w:type="dxa"/>
              <w:right w:w="28" w:type="dxa"/>
            </w:tcMar>
            <w:vAlign w:val="center"/>
          </w:tcPr>
          <w:p>
            <w:pPr>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≥2</w:t>
            </w: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创新创业活动</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社会实践</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勤工助学</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blHeader/>
          <w:jc w:val="center"/>
        </w:trPr>
        <w:tc>
          <w:tcPr>
            <w:tcW w:w="1236"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132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196" w:type="dxa"/>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szCs w:val="18"/>
                <w:highlight w:val="none"/>
                <w14:textFill>
                  <w14:solidFill>
                    <w14:schemeClr w14:val="tx1"/>
                  </w14:solidFill>
                </w14:textFill>
              </w:rPr>
              <w:t>志愿者服务</w:t>
            </w:r>
          </w:p>
        </w:tc>
        <w:tc>
          <w:tcPr>
            <w:tcW w:w="1471"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c>
          <w:tcPr>
            <w:tcW w:w="2792" w:type="dxa"/>
            <w:vMerge w:val="continue"/>
            <w:noWrap w:val="0"/>
            <w:tcMar>
              <w:left w:w="28" w:type="dxa"/>
              <w:right w:w="28" w:type="dxa"/>
            </w:tcMar>
            <w:vAlign w:val="center"/>
          </w:tcPr>
          <w:p>
            <w:pPr>
              <w:spacing w:line="380" w:lineRule="exact"/>
              <w:jc w:val="center"/>
              <w:rPr>
                <w:rFonts w:hint="default" w:ascii="Times New Roman" w:hAnsi="Times New Roman" w:cs="Times New Roman"/>
                <w:color w:val="000000" w:themeColor="text1"/>
                <w:sz w:val="18"/>
                <w:szCs w:val="18"/>
                <w:highlight w:val="none"/>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备注：第二课堂10学分根据《西安科技大学本科生第二课堂教育学分考核认定办法》评定。</w:t>
      </w:r>
    </w:p>
    <w:p>
      <w:pPr>
        <w:spacing w:line="460" w:lineRule="exact"/>
        <w:ind w:firstLine="420" w:firstLineChars="200"/>
        <w:rPr>
          <w:rFonts w:hint="default"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Cs w:val="21"/>
          <w:highlight w:val="none"/>
          <w14:textFill>
            <w14:solidFill>
              <w14:schemeClr w14:val="tx1"/>
            </w14:solidFill>
          </w14:textFill>
        </w:rPr>
        <w:t xml:space="preserve">   </w:t>
      </w:r>
    </w:p>
    <w:p>
      <w:pPr>
        <w:spacing w:line="440" w:lineRule="atLeast"/>
        <w:rPr>
          <w:rFonts w:hint="default" w:ascii="Times New Roman" w:hAnsi="Times New Roman" w:cs="Times New Roman"/>
          <w:b/>
          <w:bCs/>
          <w:color w:val="000000" w:themeColor="text1"/>
          <w:sz w:val="24"/>
          <w:szCs w:val="21"/>
          <w:highlight w:val="none"/>
          <w14:textFill>
            <w14:solidFill>
              <w14:schemeClr w14:val="tx1"/>
            </w14:solidFill>
          </w14:textFill>
        </w:rPr>
      </w:pPr>
    </w:p>
    <w:p>
      <w:pPr>
        <w:pStyle w:val="3"/>
        <w:bidi w:val="0"/>
        <w:rPr>
          <w:rFonts w:hint="default" w:ascii="Times New Roman" w:hAnsi="Times New Roman" w:cs="Times New Roman"/>
          <w:b/>
          <w:color w:val="000000" w:themeColor="text1"/>
          <w:highlight w:val="none"/>
          <w14:textFill>
            <w14:solidFill>
              <w14:schemeClr w14:val="tx1"/>
            </w14:solidFill>
          </w14:textFill>
        </w:rPr>
      </w:pPr>
      <w:r>
        <w:rPr>
          <w:rFonts w:hint="default" w:ascii="Times New Roman" w:hAnsi="Times New Roman" w:cs="Times New Roman"/>
          <w:color w:val="000000" w:themeColor="text1"/>
          <w:sz w:val="24"/>
          <w:highlight w:val="none"/>
          <w14:textFill>
            <w14:solidFill>
              <w14:schemeClr w14:val="tx1"/>
            </w14:solidFill>
          </w14:textFill>
        </w:rPr>
        <w:br w:type="page"/>
      </w:r>
      <w:bookmarkStart w:id="13" w:name="_Toc31609"/>
      <w:r>
        <w:rPr>
          <w:rFonts w:hint="default" w:ascii="Times New Roman" w:hAnsi="Times New Roman" w:eastAsia="黑体" w:cs="Times New Roman"/>
          <w:bCs/>
          <w:color w:val="000000" w:themeColor="text1"/>
          <w:sz w:val="18"/>
          <w:szCs w:val="18"/>
          <w:highlight w:val="none"/>
          <w14:textFill>
            <w14:solidFill>
              <w14:schemeClr w14:val="tx1"/>
            </w14:solidFill>
          </w14:textFill>
        </w:rPr>
        <w:t>十、教学进程表</w:t>
      </w:r>
      <w:bookmarkEnd w:id="13"/>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9"/>
        <w:gridCol w:w="340"/>
        <w:gridCol w:w="338"/>
        <w:gridCol w:w="339"/>
        <w:gridCol w:w="45"/>
        <w:gridCol w:w="294"/>
        <w:gridCol w:w="339"/>
        <w:gridCol w:w="339"/>
        <w:gridCol w:w="339"/>
        <w:gridCol w:w="339"/>
        <w:gridCol w:w="339"/>
        <w:gridCol w:w="339"/>
        <w:gridCol w:w="339"/>
        <w:gridCol w:w="339"/>
        <w:gridCol w:w="339"/>
        <w:gridCol w:w="339"/>
        <w:gridCol w:w="339"/>
        <w:gridCol w:w="309"/>
        <w:gridCol w:w="30"/>
        <w:gridCol w:w="313"/>
        <w:gridCol w:w="26"/>
        <w:gridCol w:w="339"/>
        <w:gridCol w:w="341"/>
        <w:gridCol w:w="339"/>
        <w:gridCol w:w="339"/>
        <w:gridCol w:w="339"/>
        <w:gridCol w:w="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137"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教学周</w:t>
            </w:r>
          </w:p>
        </w:tc>
        <w:tc>
          <w:tcPr>
            <w:tcW w:w="34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38"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33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9</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10</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11</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12</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13</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14</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15</w:t>
            </w:r>
          </w:p>
        </w:tc>
        <w:tc>
          <w:tcPr>
            <w:tcW w:w="33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16</w:t>
            </w:r>
          </w:p>
        </w:tc>
        <w:tc>
          <w:tcPr>
            <w:tcW w:w="339"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17</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18</w:t>
            </w:r>
          </w:p>
        </w:tc>
        <w:tc>
          <w:tcPr>
            <w:tcW w:w="341"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19</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20</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21</w:t>
            </w:r>
          </w:p>
        </w:tc>
        <w:tc>
          <w:tcPr>
            <w:tcW w:w="33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22</w:t>
            </w:r>
          </w:p>
        </w:tc>
        <w:tc>
          <w:tcPr>
            <w:tcW w:w="320"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568"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学年</w:t>
            </w: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学期</w:t>
            </w:r>
          </w:p>
        </w:tc>
        <w:tc>
          <w:tcPr>
            <w:tcW w:w="7780" w:type="dxa"/>
            <w:gridSpan w:val="26"/>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教学进程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568" w:type="dxa"/>
            <w:vMerge w:val="restart"/>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一</w:t>
            </w:r>
          </w:p>
        </w:tc>
        <w:tc>
          <w:tcPr>
            <w:tcW w:w="569"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1</w:t>
            </w:r>
          </w:p>
        </w:tc>
        <w:tc>
          <w:tcPr>
            <w:tcW w:w="340"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入学教育</w:t>
            </w:r>
          </w:p>
        </w:tc>
        <w:tc>
          <w:tcPr>
            <w:tcW w:w="722" w:type="dxa"/>
            <w:gridSpan w:val="3"/>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军事</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训练</w:t>
            </w:r>
          </w:p>
        </w:tc>
        <w:tc>
          <w:tcPr>
            <w:tcW w:w="5381" w:type="dxa"/>
            <w:gridSpan w:val="18"/>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39" w:type="dxa"/>
            <w:tcBorders>
              <w:bottom w:val="single" w:color="auto" w:sz="4" w:space="0"/>
            </w:tcBorders>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998" w:type="dxa"/>
            <w:gridSpan w:val="3"/>
            <w:tcBorders>
              <w:bottom w:val="single" w:color="auto" w:sz="4" w:space="0"/>
            </w:tcBorders>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68"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2</w:t>
            </w:r>
          </w:p>
        </w:tc>
        <w:tc>
          <w:tcPr>
            <w:tcW w:w="5394"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5"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金工实习、</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电工电子、</w:t>
            </w:r>
          </w:p>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等</w:t>
            </w:r>
          </w:p>
        </w:tc>
        <w:tc>
          <w:tcPr>
            <w:tcW w:w="998"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68"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二</w:t>
            </w: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3</w:t>
            </w:r>
          </w:p>
        </w:tc>
        <w:tc>
          <w:tcPr>
            <w:tcW w:w="5394"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5"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数学建模/实验、英语翻译与写作等</w:t>
            </w:r>
          </w:p>
        </w:tc>
        <w:tc>
          <w:tcPr>
            <w:tcW w:w="998"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68"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4</w:t>
            </w:r>
          </w:p>
        </w:tc>
        <w:tc>
          <w:tcPr>
            <w:tcW w:w="5394"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5"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英语听说训练、认识实习等</w:t>
            </w:r>
          </w:p>
        </w:tc>
        <w:tc>
          <w:tcPr>
            <w:tcW w:w="998"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68"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三</w:t>
            </w: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5</w:t>
            </w:r>
          </w:p>
        </w:tc>
        <w:tc>
          <w:tcPr>
            <w:tcW w:w="5394"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5"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综合实验、课程设计等</w:t>
            </w:r>
          </w:p>
        </w:tc>
        <w:tc>
          <w:tcPr>
            <w:tcW w:w="998"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68"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6</w:t>
            </w:r>
          </w:p>
        </w:tc>
        <w:tc>
          <w:tcPr>
            <w:tcW w:w="5394"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5"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生产实习、课程设计等</w:t>
            </w:r>
          </w:p>
        </w:tc>
        <w:tc>
          <w:tcPr>
            <w:tcW w:w="998" w:type="dxa"/>
            <w:gridSpan w:val="3"/>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568" w:type="dxa"/>
            <w:vMerge w:val="restart"/>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四</w:t>
            </w: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7</w:t>
            </w:r>
          </w:p>
        </w:tc>
        <w:tc>
          <w:tcPr>
            <w:tcW w:w="5394"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理论教学16周</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考试1周</w:t>
            </w:r>
          </w:p>
        </w:tc>
        <w:tc>
          <w:tcPr>
            <w:tcW w:w="1045"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生产实习、课程设计等</w:t>
            </w:r>
          </w:p>
        </w:tc>
        <w:tc>
          <w:tcPr>
            <w:tcW w:w="998" w:type="dxa"/>
            <w:gridSpan w:val="3"/>
            <w:noWrap w:val="0"/>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4" w:hRule="atLeast"/>
          <w:jc w:val="center"/>
        </w:trPr>
        <w:tc>
          <w:tcPr>
            <w:tcW w:w="568" w:type="dxa"/>
            <w:vMerge w:val="continue"/>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p>
        </w:tc>
        <w:tc>
          <w:tcPr>
            <w:tcW w:w="569" w:type="dxa"/>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8</w:t>
            </w:r>
          </w:p>
        </w:tc>
        <w:tc>
          <w:tcPr>
            <w:tcW w:w="5394" w:type="dxa"/>
            <w:gridSpan w:val="17"/>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lang w:eastAsia="zh-CN"/>
                <w14:textFill>
                  <w14:solidFill>
                    <w14:schemeClr w14:val="tx1"/>
                  </w14:solidFill>
                </w14:textFill>
              </w:rPr>
              <w:t>专业前沿讲座、</w:t>
            </w:r>
            <w:r>
              <w:rPr>
                <w:rFonts w:hint="default"/>
                <w:color w:val="000000" w:themeColor="text1"/>
                <w:sz w:val="18"/>
                <w:szCs w:val="18"/>
                <w14:textFill>
                  <w14:solidFill>
                    <w14:schemeClr w14:val="tx1"/>
                  </w14:solidFill>
                </w14:textFill>
              </w:rPr>
              <w:t>毕业实习、毕业设计（论文）</w:t>
            </w:r>
          </w:p>
        </w:tc>
        <w:tc>
          <w:tcPr>
            <w:tcW w:w="343" w:type="dxa"/>
            <w:gridSpan w:val="2"/>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毕业教育</w:t>
            </w:r>
          </w:p>
        </w:tc>
        <w:tc>
          <w:tcPr>
            <w:tcW w:w="1045" w:type="dxa"/>
            <w:gridSpan w:val="4"/>
            <w:noWrap w:val="0"/>
            <w:tcMar>
              <w:left w:w="28" w:type="dxa"/>
              <w:right w:w="28" w:type="dxa"/>
            </w:tcMar>
            <w:vAlign w:val="center"/>
          </w:tcPr>
          <w:p>
            <w:pPr>
              <w:pStyle w:val="27"/>
              <w:bidi w:val="0"/>
              <w:rPr>
                <w:rFonts w:hint="default"/>
                <w:color w:val="000000" w:themeColor="text1"/>
                <w:sz w:val="18"/>
                <w:szCs w:val="18"/>
                <w14:textFill>
                  <w14:solidFill>
                    <w14:schemeClr w14:val="tx1"/>
                  </w14:solidFill>
                </w14:textFill>
              </w:rPr>
            </w:pPr>
            <w:r>
              <w:rPr>
                <w:rFonts w:hint="default"/>
                <w:color w:val="000000" w:themeColor="text1"/>
                <w:sz w:val="18"/>
                <w:szCs w:val="18"/>
                <w14:textFill>
                  <w14:solidFill>
                    <w14:schemeClr w14:val="tx1"/>
                  </w14:solidFill>
                </w14:textFill>
              </w:rPr>
              <w:t>毕业离校</w:t>
            </w:r>
          </w:p>
        </w:tc>
        <w:tc>
          <w:tcPr>
            <w:tcW w:w="998" w:type="dxa"/>
            <w:gridSpan w:val="3"/>
            <w:noWrap w:val="0"/>
            <w:vAlign w:val="center"/>
          </w:tcPr>
          <w:p>
            <w:pPr>
              <w:pStyle w:val="27"/>
              <w:bidi w:val="0"/>
              <w:rPr>
                <w:rFonts w:hint="default"/>
                <w:color w:val="000000" w:themeColor="text1"/>
                <w:sz w:val="18"/>
                <w:szCs w:val="18"/>
                <w14:textFill>
                  <w14:solidFill>
                    <w14:schemeClr w14:val="tx1"/>
                  </w14:solidFill>
                </w14:textFill>
              </w:rPr>
            </w:pPr>
          </w:p>
        </w:tc>
      </w:tr>
    </w:tbl>
    <w:p>
      <w:pPr>
        <w:pStyle w:val="26"/>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备注：各学院可根据本专业实际情况适当调整第5-8学期实践教学环节起止周次。</w:t>
      </w:r>
    </w:p>
    <w:p>
      <w:pPr>
        <w:spacing w:before="156" w:beforeLines="50"/>
        <w:rPr>
          <w:rFonts w:hint="default" w:ascii="Times New Roman" w:hAnsi="Times New Roman" w:eastAsia="仿宋_GB2312" w:cs="Times New Roman"/>
          <w:color w:val="000000" w:themeColor="text1"/>
          <w:kern w:val="0"/>
          <w:szCs w:val="21"/>
          <w:highlight w:val="none"/>
          <w14:textFill>
            <w14:solidFill>
              <w14:schemeClr w14:val="tx1"/>
            </w14:solidFill>
          </w14:textFill>
        </w:rPr>
      </w:pPr>
    </w:p>
    <w:p>
      <w:pPr>
        <w:spacing w:before="156" w:beforeLines="50"/>
        <w:rPr>
          <w:rFonts w:hint="default" w:ascii="Times New Roman" w:hAnsi="Times New Roman" w:eastAsia="仿宋_GB2312" w:cs="Times New Roman"/>
          <w:color w:val="000000" w:themeColor="text1"/>
          <w:kern w:val="0"/>
          <w:szCs w:val="21"/>
          <w:highlight w:val="none"/>
          <w14:textFill>
            <w14:solidFill>
              <w14:schemeClr w14:val="tx1"/>
            </w14:solidFill>
          </w14:textFill>
        </w:rPr>
      </w:pPr>
    </w:p>
    <w:p>
      <w:pPr>
        <w:rPr>
          <w:rFonts w:hint="default" w:ascii="Times New Roman" w:hAnsi="Times New Roman" w:eastAsia="仿宋_GB2312" w:cs="Times New Roman"/>
          <w:color w:val="000000" w:themeColor="text1"/>
          <w:szCs w:val="21"/>
          <w:highlight w:val="none"/>
          <w14:textFill>
            <w14:solidFill>
              <w14:schemeClr w14:val="tx1"/>
            </w14:solidFill>
          </w14:textFill>
        </w:rPr>
        <w:sectPr>
          <w:headerReference r:id="rId3" w:type="default"/>
          <w:pgSz w:w="11906" w:h="16838"/>
          <w:pgMar w:top="1587" w:right="1417" w:bottom="1417" w:left="1417" w:header="851" w:footer="992" w:gutter="0"/>
          <w:pgNumType w:fmt="decimal"/>
          <w:cols w:space="0" w:num="1"/>
          <w:rtlGutter w:val="0"/>
          <w:docGrid w:linePitch="312" w:charSpace="0"/>
        </w:sectPr>
      </w:pPr>
    </w:p>
    <w:p>
      <w:pPr>
        <w:pStyle w:val="3"/>
        <w:bidi w:val="0"/>
        <w:rPr>
          <w:rFonts w:hint="default"/>
          <w:color w:val="000000" w:themeColor="text1"/>
          <w14:textFill>
            <w14:solidFill>
              <w14:schemeClr w14:val="tx1"/>
            </w14:solidFill>
          </w14:textFill>
        </w:rPr>
      </w:pPr>
      <w:bookmarkStart w:id="14" w:name="_Toc19611"/>
      <w:r>
        <w:rPr>
          <w:rFonts w:hint="default"/>
          <w:color w:val="000000" w:themeColor="text1"/>
          <w14:textFill>
            <w14:solidFill>
              <w14:schemeClr w14:val="tx1"/>
            </w14:solidFill>
          </w14:textFill>
        </w:rPr>
        <w:t>十一、课程体系与毕业要求关系矩阵</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1027603456" behindDoc="0" locked="0" layoutInCell="1" allowOverlap="1">
                <wp:simplePos x="0" y="0"/>
                <wp:positionH relativeFrom="column">
                  <wp:posOffset>8794115</wp:posOffset>
                </wp:positionH>
                <wp:positionV relativeFrom="paragraph">
                  <wp:posOffset>-40005</wp:posOffset>
                </wp:positionV>
                <wp:extent cx="391160" cy="5803265"/>
                <wp:effectExtent l="0" t="0" r="0" b="0"/>
                <wp:wrapNone/>
                <wp:docPr id="114" name="文本框 114"/>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wps:txbx>
                      <wps:bodyPr vert="vert" upright="1"/>
                    </wps:wsp>
                  </a:graphicData>
                </a:graphic>
              </wp:anchor>
            </w:drawing>
          </mc:Choice>
          <mc:Fallback>
            <w:pict>
              <v:shape id="_x0000_s1026" o:spid="_x0000_s1026" o:spt="202" type="#_x0000_t202" style="position:absolute;left:0pt;margin-left:692.45pt;margin-top:-3.15pt;height:456.95pt;width:30.8pt;z-index:1027603456;mso-width-relative:page;mso-height-relative:page;" filled="f" stroked="f" coordsize="21600,21600" o:gfxdata="UEsDBAoAAAAAAIdO4kAAAAAAAAAAAAAAAAAEAAAAZHJzL1BLAwQUAAAACACHTuJA4D/gHdgAAAAM&#10;AQAADwAAAGRycy9kb3ducmV2LnhtbE2PwU7DMBBE70j8g7VI3Fq7NIQ0xOkB1BsgNdC7G2+TgL2O&#10;bLcpf497KsfRPs28rdZna9gJfRgcSVjMBTCk1umBOglfn5tZASxERVoZRyjhFwOs69ubSpXaTbTF&#10;UxM7lkoolEpCH+NYch7aHq0KczcipdvBeatiir7j2qsplVvDH4TIuVUDpYVejfjSY/vTHK2EDb5P&#10;zTZTH9rE3Zsvum9XmFcp7+8W4hlYxHO8wnDRT+pQJ6e9O5IOzKS8LLJVYiXM8iWwC5Fl+SOwvYSV&#10;eMqB1xX//0T9B1BLAwQUAAAACACHTuJAH341CrUBAABeAwAADgAAAGRycy9lMm9Eb2MueG1srVPB&#10;bhshEL1X6j8g7jW7TmOlK68jVVZ6qdJKaT8As+BFAgYB9q5/IPmDnHrpvd/l7+jAOk6bXnLohYU3&#10;w5t5b5bl9WgN2csQNbiW1rOKEukEdNptW/r92827K0pi4q7jBpxs6UFGer16+2Y5+EbOoQfTyUCQ&#10;xMVm8C3tU/INY1H00vI4Ay8dBhUEyxMew5Z1gQ/Ibg2bV9WCDRA6H0DIGBFdT0F6YgyvIQSltJBr&#10;EDsrXZpYgzQ8oaTYax/pqnSrlBTpi1JRJmJaikpTWbEI7jd5Zaslb7aB+16LUwv8NS280GS5dlj0&#10;TLXmiZNd0P9QWS0CRFBpJsCySUhxBFXU1Qtv7nruZdGCVkd/Nj3+P1pxu/8aiO7wT6jfU+K4xZEf&#10;Hx+OP34df96TDKJFg48NZt55zE3jRxgx/QmPCGblowo2f1ETwTgafDgbLMdEBIIXH+p6gRGBocur&#10;6mK+uMw07Pm2DzF9kmBJ3rQ04ACLr3z/OaYp9SklF3Nwo40pQzTuLwA5M8Jy61OLeZfGzXjSs4Hu&#10;gHLwJWCdvFKy80FvezwWceUq2l76O/0iea5/nkuB52e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gP+Ad2AAAAAwBAAAPAAAAAAAAAAEAIAAAACIAAABkcnMvZG93bnJldi54bWxQSwECFAAUAAAA&#10;CACHTuJAH341CrUBAABe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v:textbox>
              </v:shape>
            </w:pict>
          </mc:Fallback>
        </mc:AlternateContent>
      </w:r>
      <w:bookmarkEnd w:id="14"/>
    </w:p>
    <w:tbl>
      <w:tblPr>
        <w:tblStyle w:val="18"/>
        <w:tblW w:w="13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5"/>
        <w:gridCol w:w="120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jc w:val="center"/>
        </w:trPr>
        <w:tc>
          <w:tcPr>
            <w:tcW w:w="1704" w:type="dxa"/>
            <w:gridSpan w:val="2"/>
            <w:vMerge w:val="restart"/>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w:t>
            </w:r>
          </w:p>
        </w:tc>
        <w:tc>
          <w:tcPr>
            <w:tcW w:w="12240" w:type="dxa"/>
            <w:gridSpan w:val="36"/>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tblHeader/>
          <w:jc w:val="center"/>
        </w:trPr>
        <w:tc>
          <w:tcPr>
            <w:tcW w:w="1704" w:type="dxa"/>
            <w:gridSpan w:val="2"/>
            <w:vMerge w:val="continue"/>
            <w:shd w:val="clear" w:color="auto" w:fill="auto"/>
            <w:noWrap w:val="0"/>
            <w:vAlign w:val="center"/>
          </w:tcPr>
          <w:p>
            <w:pPr>
              <w:pStyle w:val="27"/>
              <w:bidi w:val="0"/>
              <w:jc w:val="center"/>
              <w:rPr>
                <w:rFonts w:hint="default"/>
                <w:color w:val="000000" w:themeColor="text1"/>
                <w14:textFill>
                  <w14:solidFill>
                    <w14:schemeClr w14:val="tx1"/>
                  </w14:solidFill>
                </w14:textFill>
              </w:rPr>
            </w:pP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1-4</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2-4</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3-4</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4-4</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6-2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7-2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8-3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9-3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10-3</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11-2</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12-1</w:t>
            </w:r>
          </w:p>
        </w:tc>
        <w:tc>
          <w:tcPr>
            <w:tcW w:w="340" w:type="dxa"/>
            <w:shd w:val="clear" w:color="auto" w:fill="auto"/>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restart"/>
            <w:noWrap w:val="0"/>
            <w:textDirection w:val="tbRlV"/>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人文社会科学</w:t>
            </w: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马克思主义基</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本原理</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毛泽东思想和中</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国特色社会主义</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理论体系概论</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中国近现代史</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纲要</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思想道德修养</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与法律基础</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大学生心理健</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康教育</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英语阅读</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英语听力</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体育</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shd w:val="clear" w:color="auto" w:fill="auto"/>
            <w:noWrap w:val="0"/>
            <w:vAlign w:val="center"/>
          </w:tcPr>
          <w:p>
            <w:pPr>
              <w:pStyle w:val="27"/>
              <w:bidi w:val="0"/>
              <w:jc w:val="center"/>
              <w:rPr>
                <w:rFonts w:hint="default"/>
                <w:color w:val="000000" w:themeColor="text1"/>
                <w14:textFill>
                  <w14:solidFill>
                    <w14:schemeClr w14:val="tx1"/>
                  </w14:solidFill>
                </w14:textFill>
              </w:rPr>
            </w:pP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军事理论</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工程伦理</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restart"/>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数学和自然科学</w:t>
            </w: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高等数学A</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大学物理A</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概率论与数理</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统计B</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线性代数</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C语言程序设计</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restart"/>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创业</w:t>
            </w: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就业指导</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创新创业基础</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restart"/>
            <w:noWrap w:val="0"/>
            <w:vAlign w:val="center"/>
          </w:tcPr>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科</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础</w:t>
            </w: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科</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基</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础</w:t>
            </w: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环境生态学</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环境工程原理</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环境工程微生物</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无机与分析</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化学C</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物理化学C</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数字电子技术B</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画法几何与工程</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制图</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信息技术与人工</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智能概论</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3563060224" behindDoc="0" locked="0" layoutInCell="1" allowOverlap="1">
                      <wp:simplePos x="0" y="0"/>
                      <wp:positionH relativeFrom="column">
                        <wp:posOffset>5570220</wp:posOffset>
                      </wp:positionH>
                      <wp:positionV relativeFrom="paragraph">
                        <wp:posOffset>-1162685</wp:posOffset>
                      </wp:positionV>
                      <wp:extent cx="391160" cy="5803265"/>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wps:txbx>
                            <wps:bodyPr vert="vert" upright="1"/>
                          </wps:wsp>
                        </a:graphicData>
                      </a:graphic>
                    </wp:anchor>
                  </w:drawing>
                </mc:Choice>
                <mc:Fallback>
                  <w:pict>
                    <v:shape id="_x0000_s1026" o:spid="_x0000_s1026" o:spt="202" type="#_x0000_t202" style="position:absolute;left:0pt;margin-left:438.6pt;margin-top:-91.55pt;height:456.95pt;width:30.8pt;z-index:-731907072;mso-width-relative:page;mso-height-relative:page;" filled="f" stroked="f" coordsize="21600,21600" o:gfxdata="UEsDBAoAAAAAAIdO4kAAAAAAAAAAAAAAAAAEAAAAZHJzL1BLAwQUAAAACACHTuJA3gMJmNgAAAAM&#10;AQAADwAAAGRycy9kb3ducmV2LnhtbE2Py07DMBBF90j8gzVI7Fo7DSImxOkC1B0gNcDejYck4Edk&#10;u035e4YVLEdzdO+5zfbsLDthTFPwCoq1AIa+D2byg4K3191KAktZe6Nt8KjgGxNs28uLRtcmLH6P&#10;py4PjEJ8qrWCMee55jz1Izqd1mFGT7+PEJ3OdMaBm6gXCneWb4S45U5PnhpGPePDiP1Xd3QKdvi8&#10;dPsb/WJsfn+KcvgM0j4qdX1ViHtgGc/5D4ZffVKHlpwO4ehNYlaBrKoNoQpWhSwLYITclZLWHBRU&#10;pZDA24b/H9H+AFBLAwQUAAAACACHTuJAcb5+y7UBAABeAwAADgAAAGRycy9lMm9Eb2MueG1srVPB&#10;jtMwEL0j8Q+W7zRJV1stUdOVULVcECAtfIDr2I0l22N53Cb9AfgDTly48139DsZut7sslz1wcew3&#10;4zfz3sTL28lZtlcRDfiON7OaM+Ul9MZvO/71y92bG84wCd8LC151/KCQ365ev1qOoVVzGMD2KjIi&#10;8diOoeNDSqGtKpSDcgJnEJSnoIboRKJj3FZ9FCOxO1vN63pRjRD7EEEqRELXpyA/M8aXEILWRqo1&#10;yJ1TPp1Yo7IikSQcTEC+Kt1qrWT6pDWqxGzHSWkqKxWh/Sav1Wop2m0UYTDy3IJ4SQvPNDlhPBW9&#10;UK1FEmwXzT9UzsgICDrNJLjqJKQ4Qiqa+pk394MIqmghqzFcTMf/Rys/7j9HZnr6E5przrxwNPLj&#10;j+/Hn7+Pv76xDJJFY8CWMu8D5abpHUyU/oAjgVn5pKPLX9LEKE4GHy4GqykxSeDV26ZZUERS6Pqm&#10;vpovCn31eDtETO8VOJY3HY80wOKr2H/ARJ1Q6kNKLubhzlhbhmj9XwAlZqTKrZ9azLs0baazng30&#10;B5JDL4Hq5JWzXYhmO9CxiCtXyfZS9PyL5Lk+PZcCj89i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eAwmY2AAAAAwBAAAPAAAAAAAAAAEAIAAAACIAAABkcnMvZG93bnJldi54bWxQSwECFAAUAAAA&#10;CACHTuJAcb5+y7UBAABe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v:textbox>
                    </v:shape>
                  </w:pict>
                </mc:Fallback>
              </mc:AlternateConten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应急处置与应急</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管理概论</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网络信息检索</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工程经济与项目</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管理</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工程力学</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有机化学</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流体力学</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restart"/>
            <w:noWrap w:val="0"/>
            <w:vAlign w:val="center"/>
          </w:tcPr>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水污染控制工程</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大气污染控制</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固体废物处理</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与处置</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物理性污染控制</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环境监测</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环境影响评价</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专业外语</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生物修复原理与</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技术</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环境规划与管理</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生态文明与绿色</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发展</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给排水工程</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矿山环境保护与</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生态修复</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环保设备基础</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44039168" behindDoc="0" locked="0" layoutInCell="1" allowOverlap="1">
                      <wp:simplePos x="0" y="0"/>
                      <wp:positionH relativeFrom="column">
                        <wp:posOffset>7729220</wp:posOffset>
                      </wp:positionH>
                      <wp:positionV relativeFrom="paragraph">
                        <wp:posOffset>-467995</wp:posOffset>
                      </wp:positionV>
                      <wp:extent cx="391160" cy="5803265"/>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wps:txbx>
                            <wps:bodyPr vert="vert" upright="1"/>
                          </wps:wsp>
                        </a:graphicData>
                      </a:graphic>
                    </wp:anchor>
                  </w:drawing>
                </mc:Choice>
                <mc:Fallback>
                  <w:pict>
                    <v:shape id="_x0000_s1026" o:spid="_x0000_s1026" o:spt="202" type="#_x0000_t202" style="position:absolute;left:0pt;margin-left:608.6pt;margin-top:-36.85pt;height:456.95pt;width:30.8pt;z-index:44039168;mso-width-relative:page;mso-height-relative:page;" filled="f" stroked="f" coordsize="21600,21600" o:gfxdata="UEsDBAoAAAAAAIdO4kAAAAAAAAAAAAAAAAAEAAAAZHJzL1BLAwQUAAAACACHTuJA3NDzbNcAAAAN&#10;AQAADwAAAGRycy9kb3ducmV2LnhtbE2Py07DMBBF90j8gzVI7Fo7piJWiNMFqDtAaoD9NB6SgB9R&#10;7Dbl73FXsLyaozvn1tuzs+xEcxyD11CsBTDyXTCj7zW8v+1WClhM6A3a4EnDD0XYNtdXNVYmLH5P&#10;pzb1LJf4WKGGIaWp4jx2AzmM6zCRz7fPMDtMOc49NzMuudxZLoW45w5Hnz8MONHjQN13e3QadvSy&#10;tPsNvhqbPp5n1X8FZZ+0vr0pxAOwROf0B8NFP6tDk50O4ehNZDZnWZQysxpW5V0J7ILIUuU5Bw1q&#10;IyTwpub/VzS/UEsDBBQAAAAIAIdO4kCC+NNTtAEAAF4DAAAOAAAAZHJzL2Uyb0RvYy54bWytU8GO&#10;0zAQvSPxD5bvNGlXWy1R05VQtVwQIC18gOvYjSXbY3ncJv0B+ANOXLjzXf0Oxk63uyyXPXBx7Dfj&#10;N/PexKvb0Vl2UBEN+JbPZzVnykvojN+1/OuXuzc3nGESvhMWvGr5USG/Xb9+tRpCoxbQg+1UZETi&#10;sRlCy/uUQlNVKHvlBM4gKE9BDdGJRMe4q7ooBmJ3tlrU9bIaIHYhglSIhG6mID8zxpcQgtZGqg3I&#10;vVM+TaxRWZFIEvYmIF+XbrVWMn3SGlVituWkNJWVitB+m9dqvRLNLorQG3luQbykhWeanDCeil6o&#10;NiIJto/mHypnZAQEnWYSXDUJKY6Qinn9zJv7XgRVtJDVGC6m4/+jlR8PnyMzHf0J8yVnXjga+enH&#10;99PP36df31gGyaIhYEOZ94Fy0/gORkp/wJHArHzU0eUvaWIUJ4OPF4PVmJgk8OotEVJEUuj6pr5a&#10;LK8zTfV4O0RM7xU4ljctjzTA4qs4fMA0pT6k5GIe7oy1ZYjW/wUQZ0aq3PrUYt6lcTue9WyhO5Ic&#10;eglUJ6+c7UM0u56ORVy5SraX/s6/SJ7r03Mp8Pgs1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3NDzbNcAAAANAQAADwAAAAAAAAABACAAAAAiAAAAZHJzL2Rvd25yZXYueG1sUEsBAhQAFAAAAAgA&#10;h07iQIL401O0AQAAXgMAAA4AAAAAAAAAAQAgAAAAJgEAAGRycy9lMm9Eb2MueG1sUEsFBgAAAAAG&#10;AAYAWQEAAEwFA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v:textbox>
                    </v:shape>
                  </w:pict>
                </mc:Fallback>
              </mc:AlternateConten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地下水污染与</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修复</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环境遥感与信息</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技术</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专业前沿讲座</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restart"/>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独</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立</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设</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验</w:t>
            </w: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物理实验</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shd w:val="clear" w:color="auto" w:fill="auto"/>
            <w:noWrap w:val="0"/>
            <w:vAlign w:val="center"/>
          </w:tcPr>
          <w:p>
            <w:pPr>
              <w:pStyle w:val="27"/>
              <w:bidi w:val="0"/>
              <w:jc w:val="center"/>
              <w:rPr>
                <w:rFonts w:hint="default"/>
                <w:color w:val="000000" w:themeColor="text1"/>
                <w14:textFill>
                  <w14:solidFill>
                    <w14:schemeClr w14:val="tx1"/>
                  </w14:solidFill>
                </w14:textFill>
              </w:rPr>
            </w:pP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形势与政策</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shd w:val="clear" w:color="auto" w:fill="auto"/>
            <w:noWrap w:val="0"/>
            <w:vAlign w:val="center"/>
          </w:tcPr>
          <w:p>
            <w:pPr>
              <w:pStyle w:val="27"/>
              <w:bidi w:val="0"/>
              <w:jc w:val="center"/>
              <w:rPr>
                <w:rFonts w:hint="default"/>
                <w:color w:val="000000" w:themeColor="text1"/>
                <w14:textFill>
                  <w14:solidFill>
                    <w14:schemeClr w14:val="tx1"/>
                  </w14:solidFill>
                </w14:textFill>
              </w:rPr>
            </w:pP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无机及分析化</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学实验</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shd w:val="clear" w:color="000000" w:fill="FFFFFF"/>
            <w:noWrap w:val="0"/>
            <w:vAlign w:val="center"/>
          </w:tcPr>
          <w:p>
            <w:pPr>
              <w:pStyle w:val="27"/>
              <w:bidi w:val="0"/>
              <w:jc w:val="center"/>
              <w:rPr>
                <w:rFonts w:hint="default"/>
                <w:color w:val="000000" w:themeColor="text1"/>
                <w14:textFill>
                  <w14:solidFill>
                    <w14:schemeClr w14:val="tx1"/>
                  </w14:solidFill>
                </w14:textFill>
              </w:rPr>
            </w:pP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水气固污染控</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制实验</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shd w:val="clear" w:color="auto" w:fill="auto"/>
            <w:noWrap w:val="0"/>
            <w:vAlign w:val="center"/>
          </w:tcPr>
          <w:p>
            <w:pPr>
              <w:pStyle w:val="27"/>
              <w:bidi w:val="0"/>
              <w:jc w:val="center"/>
              <w:rPr>
                <w:rFonts w:hint="default"/>
                <w:color w:val="000000" w:themeColor="text1"/>
                <w14:textFill>
                  <w14:solidFill>
                    <w14:schemeClr w14:val="tx1"/>
                  </w14:solidFill>
                </w14:textFill>
              </w:rPr>
            </w:pP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环境监测实验</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shd w:val="clear" w:color="auto" w:fill="auto"/>
            <w:noWrap w:val="0"/>
            <w:vAlign w:val="center"/>
          </w:tcPr>
          <w:p>
            <w:pPr>
              <w:pStyle w:val="27"/>
              <w:bidi w:val="0"/>
              <w:jc w:val="center"/>
              <w:rPr>
                <w:rFonts w:hint="default"/>
                <w:color w:val="000000" w:themeColor="text1"/>
                <w14:textFill>
                  <w14:solidFill>
                    <w14:schemeClr w14:val="tx1"/>
                  </w14:solidFill>
                </w14:textFill>
              </w:rPr>
            </w:pP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环境工程微生</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物实验</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shd w:val="clear" w:color="auto" w:fill="auto"/>
            <w:noWrap w:val="0"/>
            <w:vAlign w:val="center"/>
          </w:tcPr>
          <w:p>
            <w:pPr>
              <w:pStyle w:val="27"/>
              <w:bidi w:val="0"/>
              <w:jc w:val="center"/>
              <w:rPr>
                <w:rFonts w:hint="default"/>
                <w:color w:val="000000" w:themeColor="text1"/>
                <w14:textFill>
                  <w14:solidFill>
                    <w14:schemeClr w14:val="tx1"/>
                  </w14:solidFill>
                </w14:textFill>
              </w:rPr>
            </w:pPr>
          </w:p>
        </w:tc>
        <w:tc>
          <w:tcPr>
            <w:tcW w:w="1209" w:type="dxa"/>
            <w:shd w:val="clear" w:color="000000" w:fill="FFFFFF"/>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环境工程原</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理实验</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restart"/>
            <w:noWrap w:val="0"/>
            <w:vAlign w:val="center"/>
          </w:tcPr>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专</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业</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集</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中</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实</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践</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修</w:t>
            </w: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入学教育</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军训</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思政课实践活动</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毕业教育</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环境生产实习+劳动教育</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毕业实习</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毕业设计、论文</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金工实习</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环境认识实习+劳动教育</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固体废物处理</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与处置课程设计</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大气污染控制</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工程课程设计</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水污染控制工</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程课程设计</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给排水工程</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课程设计</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H</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环境工程原理</w:t>
            </w:r>
          </w:p>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课程设计</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M</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495" w:type="dxa"/>
            <w:vMerge w:val="continue"/>
            <w:noWrap w:val="0"/>
            <w:vAlign w:val="center"/>
          </w:tcPr>
          <w:p>
            <w:pPr>
              <w:pStyle w:val="27"/>
              <w:bidi w:val="0"/>
              <w:jc w:val="center"/>
              <w:rPr>
                <w:rFonts w:hint="default"/>
                <w:color w:val="000000" w:themeColor="text1"/>
                <w14:textFill>
                  <w14:solidFill>
                    <w14:schemeClr w14:val="tx1"/>
                  </w14:solidFill>
                </w14:textFill>
              </w:rPr>
            </w:pPr>
          </w:p>
        </w:tc>
        <w:tc>
          <w:tcPr>
            <w:tcW w:w="1209"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数学建模</w:t>
            </w:r>
          </w:p>
        </w:tc>
        <w:tc>
          <w:tcPr>
            <w:tcW w:w="340" w:type="dxa"/>
            <w:noWrap w:val="0"/>
            <w:vAlign w:val="center"/>
          </w:tcPr>
          <w:p>
            <w:pPr>
              <w:pStyle w:val="27"/>
              <w:bidi w:val="0"/>
              <w:jc w:val="center"/>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L</w:t>
            </w: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c>
          <w:tcPr>
            <w:tcW w:w="340" w:type="dxa"/>
            <w:noWrap w:val="0"/>
            <w:vAlign w:val="center"/>
          </w:tcPr>
          <w:p>
            <w:pPr>
              <w:pStyle w:val="27"/>
              <w:bidi w:val="0"/>
              <w:jc w:val="center"/>
              <w:rPr>
                <w:rFonts w:hint="default"/>
                <w:color w:val="000000" w:themeColor="text1"/>
                <w14:textFill>
                  <w14:solidFill>
                    <w14:schemeClr w14:val="tx1"/>
                  </w14:solidFill>
                </w14:textFill>
              </w:rPr>
            </w:pPr>
          </w:p>
        </w:tc>
      </w:tr>
    </w:tbl>
    <w:p>
      <w:pPr>
        <w:pStyle w:val="26"/>
        <w:bidi w:val="0"/>
        <w:rPr>
          <w:rFonts w:hint="default"/>
          <w:color w:val="000000" w:themeColor="text1"/>
          <w14:textFill>
            <w14:solidFill>
              <w14:schemeClr w14:val="tx1"/>
            </w14:solidFill>
          </w14:textFill>
        </w:rPr>
        <w:sectPr>
          <w:headerReference r:id="rId4" w:type="default"/>
          <w:footerReference r:id="rId6" w:type="default"/>
          <w:headerReference r:id="rId5" w:type="even"/>
          <w:pgSz w:w="16838" w:h="11906" w:orient="landscape"/>
          <w:pgMar w:top="1417" w:right="1587" w:bottom="1417" w:left="1417" w:header="851" w:footer="992" w:gutter="0"/>
          <w:pgNumType w:fmt="decimal"/>
          <w:cols w:space="0" w:num="1"/>
          <w:rtlGutter w:val="0"/>
          <w:docGrid w:linePitch="312" w:charSpace="0"/>
        </w:sectPr>
      </w:pPr>
      <w:r>
        <w:rPr>
          <w:rFonts w:hint="default"/>
          <w:color w:val="000000" w:themeColor="text1"/>
          <w14:textFill>
            <w14:solidFill>
              <w14:schemeClr w14:val="tx1"/>
            </w14:solidFill>
          </w14:textFill>
        </w:rPr>
        <w:t>注：表中教学环节：课程、实践环节等，根据课程对各项毕业要求的支撑强度分别用“H（高）、M（中）、L（弱）”表示，支撑强度的含义是：该课程覆盖毕业要求指标点的多寡，H至少覆盖80%，M至少覆盖50%，L至少覆盖30%。</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819985408" behindDoc="0" locked="0" layoutInCell="1" allowOverlap="1">
                <wp:simplePos x="0" y="0"/>
                <wp:positionH relativeFrom="column">
                  <wp:posOffset>8794115</wp:posOffset>
                </wp:positionH>
                <wp:positionV relativeFrom="paragraph">
                  <wp:posOffset>-1517015</wp:posOffset>
                </wp:positionV>
                <wp:extent cx="391160" cy="5803265"/>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wps:txbx>
                      <wps:bodyPr vert="vert" upright="1"/>
                    </wps:wsp>
                  </a:graphicData>
                </a:graphic>
              </wp:anchor>
            </w:drawing>
          </mc:Choice>
          <mc:Fallback>
            <w:pict>
              <v:shape id="_x0000_s1026" o:spid="_x0000_s1026" o:spt="202" type="#_x0000_t202" style="position:absolute;left:0pt;margin-left:692.45pt;margin-top:-119.45pt;height:456.95pt;width:30.8pt;z-index:819985408;mso-width-relative:page;mso-height-relative:page;" filled="f" stroked="f" coordsize="21600,21600" o:gfxdata="UEsDBAoAAAAAAIdO4kAAAAAAAAAAAAAAAAAEAAAAZHJzL1BLAwQUAAAACACHTuJA78diGNoAAAAO&#10;AQAADwAAAGRycy9kb3ducmV2LnhtbE2Py07DMBBF90j8gzVI7Fq7bZqaEKcLUHeA1ED3bjwkAT+i&#10;2G3K3zNdwW6u5ujOmXJ7cZadcYx98AoWcwEMfRNM71sFH++7mQQWk/ZG2+BRwQ9G2Fa3N6UuTJj8&#10;Hs91ahmV+FhoBV1KQ8F5bDp0Os7DgJ52n2F0OlEcW25GPVG5s3wpRM6d7j1d6PSATx023/XJKdjh&#10;61TvM/1mbDq8jLL9CtI+K3V/txCPwBJe0h8MV31Sh4qcjuHkTWSW8kpmD8QqmC1XkqYrk2X5GthR&#10;Qb5ZC+BVyf+/Uf0CUEsDBBQAAAAIAIdO4kDsOJiStQEAAF4DAAAOAAAAZHJzL2Uyb0RvYy54bWyt&#10;U0tu2zAQ3RfoHQjua0oO4qaC5QCFkW6KpEDaA9AUaRHgDxzaki/Q3CCrbrrvuXyODinHadNNFt1Q&#10;5Jvhm3lvxOX1aA3Zywjau5bWs4oS6YTvtNu29NvXm3dXlEDiruPGO9nSgwR6vXr7ZjmERs59700n&#10;I0ESB80QWtqnFBrGQPTScpj5IB0GlY+WJzzGLesiH5DdGjavqgUbfOxC9EICILqegvTEGF9D6JXS&#10;Qq692Fnp0sQapeEJJUGvA9BV6VYpKdKdUiATMS1FpamsWAT3m7yy1ZI328hDr8WpBf6aFl5oslw7&#10;LHqmWvPEyS7qf6isFtGDV2kmvGWTkOIIqqirF97c9zzIogWthnA2Hf4frbjdf4lEd/gn1O8pcdzi&#10;yI+PD8cfv44/v5MMokVDgAYz7wPmpvGjHzH9CQcEs/JRRZu/qIlgHA0+nA2WYyICwYsPdb3AiMDQ&#10;5VV1MV9cZhr2fDtESJ+ktyRvWhpxgMVXvv8MaUp9SsnFnL/RxpQhGvcXgJwZYbn1qcW8S+NmPOnZ&#10;+O6AcvAlYJ28UrILUW97PBZx5SraXvo7/SJ5rn+eS4HnZ7H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HYhjaAAAADgEAAA8AAAAAAAAAAQAgAAAAIgAAAGRycy9kb3ducmV2LnhtbFBLAQIUABQA&#10;AAAIAIdO4kDsOJiStQEAAF4DAAAOAAAAAAAAAAEAIAAAACkBAABkcnMvZTJvRG9jLnhtbFBLBQYA&#10;AAAABgAGAFkBAABQ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v:textbox>
              </v:shape>
            </w:pict>
          </mc:Fallback>
        </mc:AlternateContent>
      </w:r>
    </w:p>
    <w:p>
      <w:pPr>
        <w:pStyle w:val="3"/>
        <w:bidi w:val="0"/>
        <w:rPr>
          <w:rFonts w:hint="default"/>
          <w:color w:val="000000" w:themeColor="text1"/>
          <w14:textFill>
            <w14:solidFill>
              <w14:schemeClr w14:val="tx1"/>
            </w14:solidFill>
          </w14:textFill>
        </w:rPr>
      </w:pPr>
      <w:bookmarkStart w:id="15" w:name="_Toc19778"/>
      <w:r>
        <w:rPr>
          <w:rFonts w:hint="default"/>
          <w:color w:val="000000" w:themeColor="text1"/>
          <w14:textFill>
            <w14:solidFill>
              <w14:schemeClr w14:val="tx1"/>
            </w14:solidFill>
          </w14:textFill>
        </w:rPr>
        <w:t>十三、核心课程简介</w:t>
      </w: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1595931648" behindDoc="0" locked="0" layoutInCell="1" allowOverlap="1">
                <wp:simplePos x="0" y="0"/>
                <wp:positionH relativeFrom="column">
                  <wp:posOffset>8794115</wp:posOffset>
                </wp:positionH>
                <wp:positionV relativeFrom="paragraph">
                  <wp:posOffset>-40005</wp:posOffset>
                </wp:positionV>
                <wp:extent cx="391160" cy="5803265"/>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wps:txbx>
                      <wps:bodyPr vert="vert" upright="1"/>
                    </wps:wsp>
                  </a:graphicData>
                </a:graphic>
              </wp:anchor>
            </w:drawing>
          </mc:Choice>
          <mc:Fallback>
            <w:pict>
              <v:shape id="_x0000_s1026" o:spid="_x0000_s1026" o:spt="202" type="#_x0000_t202" style="position:absolute;left:0pt;margin-left:692.45pt;margin-top:-3.15pt;height:456.95pt;width:30.8pt;z-index:1595931648;mso-width-relative:page;mso-height-relative:page;" filled="f" stroked="f" coordsize="21600,21600" o:gfxdata="UEsDBAoAAAAAAIdO4kAAAAAAAAAAAAAAAAAEAAAAZHJzL1BLAwQUAAAACACHTuJA4D/gHdgAAAAM&#10;AQAADwAAAGRycy9kb3ducmV2LnhtbE2PwU7DMBBE70j8g7VI3Fq7NIQ0xOkB1BsgNdC7G2+TgL2O&#10;bLcpf497KsfRPs28rdZna9gJfRgcSVjMBTCk1umBOglfn5tZASxERVoZRyjhFwOs69ubSpXaTbTF&#10;UxM7lkoolEpCH+NYch7aHq0KczcipdvBeatiir7j2qsplVvDH4TIuVUDpYVejfjSY/vTHK2EDb5P&#10;zTZTH9rE3Zsvum9XmFcp7+8W4hlYxHO8wnDRT+pQJ6e9O5IOzKS8LLJVYiXM8iWwC5Fl+SOwvYSV&#10;eMqB1xX//0T9B1BLAwQUAAAACACHTuJAEG8TBbQBAABeAwAADgAAAGRycy9lMm9Eb2MueG1srVNL&#10;btswEN0X6B0I7mtKDmKkguUAhZFsgrZA2gPQFGkRIDkESVvyBdobdNVN9z2Xz9Eh5Ti/TRbdUOSb&#10;4Zt5b8Tl9WgN2csQNbiW1rOKEukEdNptW/r9282HK0pi4q7jBpxs6UFGer16/245+EbOoQfTyUCQ&#10;xMVm8C3tU/INY1H00vI4Ay8dBhUEyxMew5Z1gQ/Ibg2bV9WCDRA6H0DIGBFdT0F6YgxvIQSltJBr&#10;EDsrXZpYgzQ8oaTYax/pqnSrlBTpi1JRJmJaikpTWbEI7jd5Zaslb7aB+16LUwv8LS280GS5dlj0&#10;TLXmiZNd0K+orBYBIqg0E2DZJKQ4girq6oU39z33smhBq6M/mx7/H634vP8aiO7wT6hx8I5bHPnx&#10;18/j77/HPz9IBtGiwccGM+895qbxE4yY/oBHBLPyUQWbv6iJYBwNPpwNlmMiAsGLj3W9wIjA0OVV&#10;dTFfXGYa9njbh5huJViSNy0NOMDiK9/fxTSlPqTkYg5utDFliMY9A5AzIyy3PrWYd2ncjCc9G+gO&#10;KAdfAtbJKyU7H/S2x2MRV66i7aW/0y+S5/r0XAo8PovV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A/4B3YAAAADAEAAA8AAAAAAAAAAQAgAAAAIgAAAGRycy9kb3ducmV2LnhtbFBLAQIUABQAAAAI&#10;AIdO4kAQbxMFtAEAAF4DAAAOAAAAAAAAAAEAIAAAACcBAABkcnMvZTJvRG9jLnhtbFBLBQYAAAAA&#10;BgAGAFkBAABNBQ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v:textbox>
              </v:shape>
            </w:pict>
          </mc:Fallback>
        </mc:AlternateContent>
      </w:r>
      <w:bookmarkEnd w:id="15"/>
    </w:p>
    <w:tbl>
      <w:tblPr>
        <w:tblStyle w:val="18"/>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150"/>
        <w:gridCol w:w="1751"/>
        <w:gridCol w:w="1202"/>
        <w:gridCol w:w="985"/>
        <w:gridCol w:w="1313"/>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blHeader/>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序号</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课程编号</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课程名称</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课内学时</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学分</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前导课程</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1</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A2095060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kern w:val="0"/>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大气污染控制工程</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64</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4</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环境工程原理</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大气污染控制工程技术的基本知识，包括燃烧与大气污染；污染气象学基础知识；除尘技术基础与除尘器的基本原理、性能特点和适用范围；应用吸收、吸附和催化转化等方法治理气态污染物的基本原理和典型工艺流程等。使学生掌握除尘、脱硫、脱硝、VOCs等污染物净化技术的基本原理和方法，培养其分析大气污染物及污染源、根据净化需要选择净化方式以及初步进行净化设备的选型和设计的能力，进一步加强工程伦理和爱国主要情怀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2</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A2095070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kern w:val="0"/>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水污染控制工程</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64</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4</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环境工程微生物、环境工程原理</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jc w:val="left"/>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污水水质指标；污水物理、化学、物理化学及生物处理方法的理论与实践、工艺与设备、设计与运行、操作与管理；污水利用途径及污泥最终处置方式等知识，掌握水处理操作单元的基本原理；水处理工艺系统的流程、单元构成、处理设施的结构、辅助设备的作用与特点以及水处理工艺设计，培养学生对水污染的分析、水处理工艺的设计和管理以及开展水污染控制的科学研究能力。使学生能够从工程观点分析和处理实际问题，并遵守职业道德与职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A2095080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固体废物处理与处置</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32</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2</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环境学概论、物理化学、环境微生物、化工原理</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了固体废物的来源、种类、收集、贮存及清运等知识，掌握固体废物的预处理、物化处理、生物处理及热处理等相关技术和方法，培养学生对固体废物处理处置工程进行设计运营、技术研发、项目管理、技术咨询等方面的能力，同时发挥价值观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4</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A2095040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环境监测</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32</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2</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无机及分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析化学、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物理化学</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环境监测的基本概念、监测分析技术手段、环境中各种优先监测污染物的监测方法及监测过程中的质量保证等知识，掌握环境监测任务、环境监测的过程、主要分析方法的原理及实验室操作技术、监测数据的统计处理方法，培养学生环境分析检测、科学研究以及团队合作意识塑造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5</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B2095040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环境影响评价</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32</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2</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污染控制工程、环境监测、环境生态学</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环境影响评价的法律法规、标准、程序、方法和内容。使学生了解国内外环境影响评价的发展及在环境管理实践中的地位，熟悉我国环境影响评价的制度体系，掌握环境影响评价的基础知识和方法，培养建立“污染源—扩散途径—受体影响”的影响评价思想，以及环境风险防控意识，遵守职业道德与职业规范。培养能够按我国的环境影响评价技术导则的要求，独立完成建设项目的环境影响评价及评价文件的编写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6</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A2095100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21" w:leftChars="-10" w:right="-21" w:rightChars="-10"/>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物理性污染控制</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32</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2</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高等数学、普通物理等</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color w:val="000000" w:themeColor="text1"/>
                <w:sz w:val="18"/>
                <w14:textFill>
                  <w14:solidFill>
                    <w14:schemeClr w14:val="tx1"/>
                  </w14:solidFill>
                </w14:textFill>
              </w:rPr>
              <mc:AlternateContent>
                <mc:Choice Requires="wps">
                  <w:drawing>
                    <wp:anchor distT="0" distB="0" distL="114300" distR="114300" simplePos="0" relativeHeight="2371877888" behindDoc="0" locked="0" layoutInCell="1" allowOverlap="1">
                      <wp:simplePos x="0" y="0"/>
                      <wp:positionH relativeFrom="column">
                        <wp:posOffset>4187190</wp:posOffset>
                      </wp:positionH>
                      <wp:positionV relativeFrom="paragraph">
                        <wp:posOffset>-307340</wp:posOffset>
                      </wp:positionV>
                      <wp:extent cx="391160" cy="5803265"/>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391160" cy="5803265"/>
                              </a:xfrm>
                              <a:prstGeom prst="rect">
                                <a:avLst/>
                              </a:prstGeom>
                              <a:noFill/>
                              <a:ln>
                                <a:noFill/>
                              </a:ln>
                            </wps:spPr>
                            <wps:txbx>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wps:txbx>
                            <wps:bodyPr vert="vert" upright="1"/>
                          </wps:wsp>
                        </a:graphicData>
                      </a:graphic>
                    </wp:anchor>
                  </w:drawing>
                </mc:Choice>
                <mc:Fallback>
                  <w:pict>
                    <v:shape id="_x0000_s1026" o:spid="_x0000_s1026" o:spt="202" type="#_x0000_t202" style="position:absolute;left:0pt;margin-left:329.7pt;margin-top:-24.2pt;height:456.95pt;width:30.8pt;z-index:-1923089408;mso-width-relative:page;mso-height-relative:page;" filled="f" stroked="f" coordsize="21600,21600" o:gfxdata="UEsDBAoAAAAAAIdO4kAAAAAAAAAAAAAAAAAEAAAAZHJzL1BLAwQUAAAACACHTuJAlzdn/9gAAAAL&#10;AQAADwAAAGRycy9kb3ducmV2LnhtbE2Py07DMBBF90j8gzVI7FonVRJMiNMFqDtAaoC9Gw9JwI/I&#10;dpvy9wwrupvRHN05t9merWEnDHHyTkK+zoCh672e3CDh/W23EsBiUk4r4x1K+MEI2/b6qlG19ovb&#10;46lLA6MQF2slYUxprjmP/YhWxbWf0dHt0werEq1h4DqohcKt4Zssq7hVk6MPo5rxccT+uztaCTt8&#10;Wbp9oV61SR/PQQxfXpgnKW9v8uwBWMJz+ofhT5/UoSWngz86HZmRUJX3BaESVoWggYi7TU7tDhJE&#10;VZbA24Zfdmh/AVBLAwQUAAAACACHTuJAfq9YxLUBAABeAwAADgAAAGRycy9lMm9Eb2MueG1srVNL&#10;btswEN0XyB0I7mtKDmIkguUAhZFsirZA2gPQFGkR4A8c2pIvkNygq26677l8jg4px2nTTRbdUOSb&#10;4Zt5b8Tl7WgN2csI2ruW1rOKEumE77TbtvTb17v315RA4q7jxjvZ0oMEeru6eLccQiPnvvemk5Eg&#10;iYNmCC3tUwoNYyB6aTnMfJAOg8pHyxMe45Z1kQ/Ibg2bV9WCDT52IXohARBdT0F6YoxvIfRKaSHX&#10;XuysdGlijdLwhJKg1wHoqnSrlBTps1IgEzEtRaWprFgE95u8stWSN9vIQ6/FqQX+lhZeabJcOyx6&#10;plrzxMku6n+orBbRg1dpJrxlk5DiCKqoq1fePPQ8yKIFrYZwNh3+H634tP8Sie7wT6hvKHHc4siP&#10;35+OP34dfz6SDKJFQ4AGMx8C5qbxgx8x/RkHBLPyUUWbv6iJYBwNPpwNlmMiAsHLm7peYERg6Oq6&#10;upwvrjINe7kdIqR76S3Jm5ZGHGDxle8/QppSn1NyMefvtDFliMb9BSBnRlhufWox79K4GU96Nr47&#10;oBx8CVgnr5TsQtTbHo9FXLmKtpf+Tr9Inuuf51Lg5Vm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XN2f/2AAAAAsBAAAPAAAAAAAAAAEAIAAAACIAAABkcnMvZG93bnJldi54bWxQSwECFAAUAAAA&#10;CACHTuJAfq9YxLUBAABeAwAADgAAAAAAAAABACAAAAAnAQAAZHJzL2Uyb0RvYy54bWxQSwUGAAAA&#10;AAYABgBZAQAATgUAAAAA&#10;">
                      <v:fill on="f" focussize="0,0"/>
                      <v:stroke on="f"/>
                      <v:imagedata o:title=""/>
                      <o:lock v:ext="edit" aspectratio="f"/>
                      <v:textbox style="layout-flow:vertical;">
                        <w:txbxContent>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p/>
                        </w:txbxContent>
                      </v:textbox>
                    </v:shape>
                  </w:pict>
                </mc:Fallback>
              </mc:AlternateContent>
            </w: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物理性污染的基本知识，掌握噪声、振动、电磁、放射性污染、热污染和光污染等物理性污染的基本概念、理论及控制原理，培养学生建立工程伦理思想观念，具备常见噪声源噪声控制的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7</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A2095020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kern w:val="0"/>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环境工程原理</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48</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物理化学</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环境污染控制工程，即水质净化与水污染控制工程、大气污染控制工程、固体废弃物处理与处置工程等环境污染防治及生态修复工程中涉及的具有共性的现象和过程的基本原理。掌握环境工程学的基本概念和基本理论：主要包括物料衡算与能量衡算、流体流动、热量传递和质量传递的基本概念和基本理论。掌握分离过程原理：主要包括沉淀、过滤、吸收、吸附、离子交换、膜分离等基本分离过程的原理，为专业课学习打好基础。培养学生掌握专业知识的应用、实践和团队合作意识塑造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8</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A2095030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环境工程微生物</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32</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2</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无机化学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有机化学</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微生物的结构、特征及其在环境治理中的作用机理等相关知识，包括微生物的营养、代谢、生长繁殖及其控制、遗传与变异、微生物的生态及微生物在物质循环中的作用等；掌握与废水、废气、有机固体废物生物处理相关的检测技术和实验方法；培养学生能够利用微生物在环境治理中的原理去分析和解决环境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260"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9</w:t>
            </w:r>
          </w:p>
        </w:tc>
        <w:tc>
          <w:tcPr>
            <w:tcW w:w="41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B2095030</w:t>
            </w:r>
          </w:p>
        </w:tc>
        <w:tc>
          <w:tcPr>
            <w:tcW w:w="635"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kern w:val="0"/>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环境规划与管理</w:t>
            </w:r>
          </w:p>
        </w:tc>
        <w:tc>
          <w:tcPr>
            <w:tcW w:w="43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32</w:t>
            </w:r>
          </w:p>
        </w:tc>
        <w:tc>
          <w:tcPr>
            <w:tcW w:w="357"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2</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环境工程概论、环境监测、环境生态学</w:t>
            </w:r>
          </w:p>
        </w:tc>
        <w:tc>
          <w:tcPr>
            <w:tcW w:w="2414" w:type="pct"/>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80" w:lineRule="exact"/>
              <w:ind w:firstLine="360" w:firstLineChars="200"/>
              <w:textAlignment w:val="auto"/>
              <w:rPr>
                <w:rFonts w:hint="default" w:ascii="Times New Roman" w:hAnsi="Times New Roman" w:cs="Times New Roman"/>
                <w:b w:val="0"/>
                <w:bCs w:val="0"/>
                <w:color w:val="000000" w:themeColor="text1"/>
                <w:sz w:val="18"/>
                <w:szCs w:val="18"/>
                <w:highlight w:val="none"/>
                <w14:textFill>
                  <w14:solidFill>
                    <w14:schemeClr w14:val="tx1"/>
                  </w14:solidFill>
                </w14:textFill>
              </w:rPr>
            </w:pPr>
            <w:r>
              <w:rPr>
                <w:rFonts w:hint="default" w:ascii="Times New Roman" w:hAnsi="Times New Roman" w:cs="Times New Roman"/>
                <w:b w:val="0"/>
                <w:bCs w:val="0"/>
                <w:color w:val="000000" w:themeColor="text1"/>
                <w:sz w:val="18"/>
                <w:szCs w:val="18"/>
                <w:highlight w:val="none"/>
                <w14:textFill>
                  <w14:solidFill>
                    <w14:schemeClr w14:val="tx1"/>
                  </w14:solidFill>
                </w14:textFill>
              </w:rPr>
              <w:t>该课程主要学习环境规划和管理的理论、方法和内容，使学生了解环境规划在我国规划体系中的地位，环境管理与环境科学及管理科学的关系，以及环境规划和管理在国内外的实践，熟悉我国常见的规划的编制内容及方法，熟悉我国的环境保护制度体系，掌握环境管理的方法在区域环境管理、自然资源环境管理、企业环境管理中的应用及其作用。通过课程的学习，培养学生树立以法管理、预防为主，综合管理、全过程管理的环境管理思想，培养学生在将来的工作及生活中正确选择自己的环境行为的能力。</w:t>
            </w:r>
          </w:p>
        </w:tc>
      </w:tr>
    </w:tbl>
    <w:p>
      <w:pPr>
        <w:pStyle w:val="3"/>
        <w:keepNext w:val="0"/>
        <w:keepLines w:val="0"/>
        <w:pageBreakBefore w:val="0"/>
        <w:kinsoku/>
        <w:wordWrap/>
        <w:overflowPunct/>
        <w:topLinePunct w:val="0"/>
        <w:autoSpaceDE/>
        <w:autoSpaceDN/>
        <w:bidi w:val="0"/>
        <w:adjustRightInd/>
        <w:snapToGrid/>
        <w:spacing w:line="360" w:lineRule="exact"/>
        <w:rPr>
          <w:rFonts w:hint="default"/>
          <w:color w:val="000000" w:themeColor="text1"/>
          <w14:textFill>
            <w14:solidFill>
              <w14:schemeClr w14:val="tx1"/>
            </w14:solidFill>
          </w14:textFill>
        </w:rPr>
      </w:pPr>
      <w:bookmarkStart w:id="16" w:name="_Toc5334"/>
      <w:r>
        <w:rPr>
          <w:rFonts w:hint="default"/>
          <w:color w:val="000000" w:themeColor="text1"/>
          <w14:textFill>
            <w14:solidFill>
              <w14:schemeClr w14:val="tx1"/>
            </w14:solidFill>
          </w14:textFill>
        </w:rPr>
        <w:t>十四、修订（制定）人、审核人信息</w:t>
      </w:r>
      <w:bookmarkEnd w:id="16"/>
    </w:p>
    <w:p>
      <w:pPr>
        <w:pStyle w:val="12"/>
        <w:keepNext w:val="0"/>
        <w:keepLines w:val="0"/>
        <w:pageBreakBefore w:val="0"/>
        <w:kinsoku/>
        <w:wordWrap/>
        <w:overflowPunct/>
        <w:topLinePunct w:val="0"/>
        <w:autoSpaceDE/>
        <w:autoSpaceDN/>
        <w:bidi w:val="0"/>
        <w:adjustRightInd/>
        <w:snapToGrid/>
        <w:spacing w:line="36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制定人：荆秀艳</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副教授</w:t>
      </w:r>
    </w:p>
    <w:p>
      <w:pPr>
        <w:pStyle w:val="12"/>
        <w:keepNext w:val="0"/>
        <w:keepLines w:val="0"/>
        <w:pageBreakBefore w:val="0"/>
        <w:kinsoku/>
        <w:wordWrap/>
        <w:overflowPunct/>
        <w:topLinePunct w:val="0"/>
        <w:autoSpaceDE/>
        <w:autoSpaceDN/>
        <w:bidi w:val="0"/>
        <w:adjustRightInd/>
        <w:snapToGrid/>
        <w:spacing w:line="360" w:lineRule="exact"/>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审核人：刘转年</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教</w:t>
      </w:r>
      <w:r>
        <w:rPr>
          <w:rFonts w:hint="eastAsia"/>
          <w:color w:val="000000" w:themeColor="text1"/>
          <w:lang w:val="en-US" w:eastAsia="zh-CN"/>
          <w14:textFill>
            <w14:solidFill>
              <w14:schemeClr w14:val="tx1"/>
            </w14:solidFill>
          </w14:textFill>
        </w:rPr>
        <w:t xml:space="preserve">  </w:t>
      </w:r>
      <w:r>
        <w:rPr>
          <w:rFonts w:hint="default"/>
          <w:color w:val="000000" w:themeColor="text1"/>
          <w14:textFill>
            <w14:solidFill>
              <w14:schemeClr w14:val="tx1"/>
            </w14:solidFill>
          </w14:textFill>
        </w:rPr>
        <w:t>授</w:t>
      </w:r>
    </w:p>
    <w:p>
      <w:pPr>
        <w:pStyle w:val="3"/>
        <w:keepNext w:val="0"/>
        <w:keepLines w:val="0"/>
        <w:pageBreakBefore w:val="0"/>
        <w:kinsoku/>
        <w:wordWrap/>
        <w:overflowPunct/>
        <w:topLinePunct w:val="0"/>
        <w:autoSpaceDE/>
        <w:autoSpaceDN/>
        <w:bidi w:val="0"/>
        <w:adjustRightInd/>
        <w:snapToGrid/>
        <w:spacing w:line="360" w:lineRule="exact"/>
        <w:rPr>
          <w:rFonts w:hint="default"/>
          <w:color w:val="000000" w:themeColor="text1"/>
          <w14:textFill>
            <w14:solidFill>
              <w14:schemeClr w14:val="tx1"/>
            </w14:solidFill>
          </w14:textFill>
        </w:rPr>
      </w:pPr>
      <w:bookmarkStart w:id="17" w:name="_Toc12405"/>
      <w:r>
        <w:rPr>
          <w:rFonts w:hint="default"/>
          <w:color w:val="000000" w:themeColor="text1"/>
          <w14:textFill>
            <w14:solidFill>
              <w14:schemeClr w14:val="tx1"/>
            </w14:solidFill>
          </w14:textFill>
        </w:rPr>
        <w:t>十五、说明</w:t>
      </w:r>
      <w:bookmarkEnd w:id="17"/>
    </w:p>
    <w:p>
      <w:pPr>
        <w:pStyle w:val="12"/>
        <w:keepNext w:val="0"/>
        <w:keepLines w:val="0"/>
        <w:pageBreakBefore w:val="0"/>
        <w:kinsoku/>
        <w:wordWrap/>
        <w:overflowPunct/>
        <w:topLinePunct w:val="0"/>
        <w:autoSpaceDE/>
        <w:autoSpaceDN/>
        <w:bidi w:val="0"/>
        <w:adjustRightInd/>
        <w:snapToGrid/>
        <w:spacing w:line="360" w:lineRule="exact"/>
        <w:rPr>
          <w:rFonts w:hint="default"/>
          <w:color w:val="000000" w:themeColor="text1"/>
          <w14:textFill>
            <w14:solidFill>
              <w14:schemeClr w14:val="tx1"/>
            </w14:solidFill>
          </w14:textFill>
        </w:rPr>
        <w:sectPr>
          <w:headerReference r:id="rId7" w:type="default"/>
          <w:footerReference r:id="rId9" w:type="default"/>
          <w:headerReference r:id="rId8" w:type="even"/>
          <w:footerReference r:id="rId10" w:type="even"/>
          <w:pgSz w:w="16838" w:h="11906" w:orient="landscape"/>
          <w:pgMar w:top="1417" w:right="1587" w:bottom="1417" w:left="1417" w:header="851" w:footer="992" w:gutter="0"/>
          <w:pgNumType w:fmt="decimal"/>
          <w:cols w:space="0" w:num="1"/>
          <w:rtlGutter w:val="0"/>
          <w:docGrid w:linePitch="312" w:charSpace="0"/>
        </w:sectPr>
      </w:pPr>
      <w:r>
        <w:rPr>
          <w:rFonts w:hint="default"/>
          <w:color w:val="000000" w:themeColor="text1"/>
          <w14:textFill>
            <w14:solidFill>
              <w14:schemeClr w14:val="tx1"/>
            </w14:solidFill>
          </w14:textFill>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w:t>
    </w:r>
    <w:r>
      <w:rPr>
        <w:rFonts w:ascii="宋体" w:hAnsi="宋体"/>
        <w:sz w:val="28"/>
      </w:rPr>
      <w:t xml:space="preserve"> 4 -</w:t>
    </w:r>
    <w:r>
      <w:rPr>
        <w:rFonts w:ascii="宋体" w:hAnsi="宋体"/>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single" w:color="auto" w:sz="4" w:space="1"/>
      </w:pBdr>
      <w:kinsoku/>
      <w:wordWrap/>
      <w:overflowPunct/>
      <w:topLinePunct w:val="0"/>
      <w:autoSpaceDE/>
      <w:autoSpaceDN/>
      <w:bidi w:val="0"/>
      <w:adjustRightInd/>
      <w:snapToGrid w:val="0"/>
      <w:spacing w:line="360" w:lineRule="auto"/>
      <w:ind w:firstLine="180" w:firstLineChars="100"/>
      <w:jc w:val="left"/>
      <w:textAlignment w:val="auto"/>
      <w:rPr>
        <w:rFonts w:hint="default"/>
        <w:lang w:val="en-US" w:eastAsia="zh-CN"/>
      </w:rPr>
    </w:pPr>
  </w:p>
  <w:p>
    <w:pPr>
      <w:pStyle w:val="15"/>
      <w:pBdr>
        <w:bottom w:val="single" w:color="auto" w:sz="4" w:space="1"/>
      </w:pBdr>
      <w:ind w:firstLine="180" w:firstLineChars="100"/>
      <w:jc w:val="left"/>
      <w:rPr>
        <w:rFonts w:hint="eastAsia" w:eastAsia="宋体"/>
        <w:lang w:val="en-US" w:eastAsia="zh-CN"/>
      </w:rPr>
    </w:pPr>
    <w:r>
      <w:rPr>
        <w:rFonts w:hint="eastAsia"/>
        <w:lang w:val="en-US" w:eastAsia="zh-CN"/>
      </w:rPr>
      <w:t>西安科技大学                                                             环境工程专业人才培养方案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hint="eastAsia" w:ascii="宋体" w:hAnsi="宋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7B6D1"/>
    <w:multiLevelType w:val="multilevel"/>
    <w:tmpl w:val="8C27B6D1"/>
    <w:lvl w:ilvl="0" w:tentative="0">
      <w:start w:val="1"/>
      <w:numFmt w:val="chineseCounting"/>
      <w:suff w:val="nothing"/>
      <w:lvlText w:val="%1、"/>
      <w:lvlJc w:val="left"/>
      <w:pPr>
        <w:tabs>
          <w:tab w:val="left" w:pos="0"/>
        </w:tabs>
        <w:ind w:left="0" w:firstLine="0"/>
      </w:pPr>
      <w:rPr>
        <w:rFonts w:hint="eastAsia" w:eastAsia="黑体"/>
      </w:rPr>
    </w:lvl>
    <w:lvl w:ilvl="1" w:tentative="0">
      <w:start w:val="1"/>
      <w:numFmt w:val="chineseCounting"/>
      <w:suff w:val="nothing"/>
      <w:lvlText w:val="（%2）"/>
      <w:lvlJc w:val="left"/>
      <w:pPr>
        <w:tabs>
          <w:tab w:val="left" w:pos="0"/>
        </w:tabs>
        <w:ind w:left="0" w:firstLine="0"/>
      </w:pPr>
      <w:rPr>
        <w:rFonts w:hint="eastAsia" w:eastAsia="楷体_GB2312"/>
      </w:rPr>
    </w:lvl>
    <w:lvl w:ilvl="2" w:tentative="0">
      <w:start w:val="1"/>
      <w:numFmt w:val="decimal"/>
      <w:suff w:val="nothing"/>
      <w:lvlText w:val="%3．"/>
      <w:lvlJc w:val="left"/>
      <w:pPr>
        <w:tabs>
          <w:tab w:val="left" w:pos="0"/>
        </w:tabs>
        <w:ind w:left="0" w:firstLine="400"/>
      </w:pPr>
      <w:rPr>
        <w:rFonts w:hint="eastAsia" w:ascii="Times New Roman" w:hAnsi="Times New Roman"/>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95A97"/>
    <w:rsid w:val="02A62130"/>
    <w:rsid w:val="03733179"/>
    <w:rsid w:val="046D3198"/>
    <w:rsid w:val="04733703"/>
    <w:rsid w:val="05925FDF"/>
    <w:rsid w:val="062E2D1B"/>
    <w:rsid w:val="074967E6"/>
    <w:rsid w:val="07CF276A"/>
    <w:rsid w:val="083355B1"/>
    <w:rsid w:val="0B8862A8"/>
    <w:rsid w:val="0BC54360"/>
    <w:rsid w:val="0BDA0235"/>
    <w:rsid w:val="0F017D01"/>
    <w:rsid w:val="0F3040D5"/>
    <w:rsid w:val="0FA36B15"/>
    <w:rsid w:val="11EE5A97"/>
    <w:rsid w:val="13944394"/>
    <w:rsid w:val="13B41578"/>
    <w:rsid w:val="1418211A"/>
    <w:rsid w:val="14A15C53"/>
    <w:rsid w:val="158F556D"/>
    <w:rsid w:val="16563A3D"/>
    <w:rsid w:val="166E0E59"/>
    <w:rsid w:val="179346C1"/>
    <w:rsid w:val="17D75146"/>
    <w:rsid w:val="193E41B7"/>
    <w:rsid w:val="1A277F26"/>
    <w:rsid w:val="1A551090"/>
    <w:rsid w:val="1B323640"/>
    <w:rsid w:val="1C2216D4"/>
    <w:rsid w:val="1C323349"/>
    <w:rsid w:val="1D3C656D"/>
    <w:rsid w:val="1F53118E"/>
    <w:rsid w:val="20492380"/>
    <w:rsid w:val="20791F7A"/>
    <w:rsid w:val="20C53941"/>
    <w:rsid w:val="213D6D76"/>
    <w:rsid w:val="2287465B"/>
    <w:rsid w:val="24943073"/>
    <w:rsid w:val="25A959F0"/>
    <w:rsid w:val="25F02F22"/>
    <w:rsid w:val="25F344E6"/>
    <w:rsid w:val="266F2D73"/>
    <w:rsid w:val="290D541E"/>
    <w:rsid w:val="298B4BF8"/>
    <w:rsid w:val="2A446075"/>
    <w:rsid w:val="2A7161D5"/>
    <w:rsid w:val="2AE32E46"/>
    <w:rsid w:val="2C434059"/>
    <w:rsid w:val="2D2D0D52"/>
    <w:rsid w:val="304F2260"/>
    <w:rsid w:val="30842677"/>
    <w:rsid w:val="30A940C1"/>
    <w:rsid w:val="310E3270"/>
    <w:rsid w:val="31BB3DF3"/>
    <w:rsid w:val="32091053"/>
    <w:rsid w:val="329B6C5A"/>
    <w:rsid w:val="32E00F63"/>
    <w:rsid w:val="32F7004C"/>
    <w:rsid w:val="33084EB0"/>
    <w:rsid w:val="33150BBC"/>
    <w:rsid w:val="3405537B"/>
    <w:rsid w:val="341D3028"/>
    <w:rsid w:val="34D87B33"/>
    <w:rsid w:val="34DA5E8A"/>
    <w:rsid w:val="35352537"/>
    <w:rsid w:val="360C229D"/>
    <w:rsid w:val="37343731"/>
    <w:rsid w:val="373A7186"/>
    <w:rsid w:val="38D15CFC"/>
    <w:rsid w:val="3A863F8A"/>
    <w:rsid w:val="3AB43AC4"/>
    <w:rsid w:val="3B0F4F21"/>
    <w:rsid w:val="3B5359A2"/>
    <w:rsid w:val="3BB97853"/>
    <w:rsid w:val="3CD0264F"/>
    <w:rsid w:val="3D2C5566"/>
    <w:rsid w:val="3DBA65AF"/>
    <w:rsid w:val="3FF71EE7"/>
    <w:rsid w:val="40410FCC"/>
    <w:rsid w:val="41B26A94"/>
    <w:rsid w:val="42D25253"/>
    <w:rsid w:val="437840FF"/>
    <w:rsid w:val="4425090C"/>
    <w:rsid w:val="4442190C"/>
    <w:rsid w:val="444E4DF7"/>
    <w:rsid w:val="447D000E"/>
    <w:rsid w:val="474B18A5"/>
    <w:rsid w:val="476D2F6E"/>
    <w:rsid w:val="49466F1E"/>
    <w:rsid w:val="49A84B5F"/>
    <w:rsid w:val="4A2C4195"/>
    <w:rsid w:val="4C5F55B5"/>
    <w:rsid w:val="4DC60391"/>
    <w:rsid w:val="4E0E3CAF"/>
    <w:rsid w:val="4E982649"/>
    <w:rsid w:val="4EC001DF"/>
    <w:rsid w:val="4FAB4F5F"/>
    <w:rsid w:val="501A2A11"/>
    <w:rsid w:val="50C84B7C"/>
    <w:rsid w:val="52C67B35"/>
    <w:rsid w:val="52E66C1C"/>
    <w:rsid w:val="53547280"/>
    <w:rsid w:val="53F35B9C"/>
    <w:rsid w:val="55FA5203"/>
    <w:rsid w:val="56917399"/>
    <w:rsid w:val="56DF6C22"/>
    <w:rsid w:val="57741F3A"/>
    <w:rsid w:val="57B33DD9"/>
    <w:rsid w:val="58AA07A3"/>
    <w:rsid w:val="59902745"/>
    <w:rsid w:val="59F82541"/>
    <w:rsid w:val="5A335300"/>
    <w:rsid w:val="5A7F28B2"/>
    <w:rsid w:val="5BCE23E9"/>
    <w:rsid w:val="5C0D4806"/>
    <w:rsid w:val="5C2F0E0F"/>
    <w:rsid w:val="5CC16542"/>
    <w:rsid w:val="5D1A7EB4"/>
    <w:rsid w:val="5D2E4AC2"/>
    <w:rsid w:val="5DA86654"/>
    <w:rsid w:val="5E3B7927"/>
    <w:rsid w:val="5E4F460D"/>
    <w:rsid w:val="605E58B7"/>
    <w:rsid w:val="60E136FE"/>
    <w:rsid w:val="60FE207D"/>
    <w:rsid w:val="62587F9F"/>
    <w:rsid w:val="62CD49EF"/>
    <w:rsid w:val="63804143"/>
    <w:rsid w:val="640A2489"/>
    <w:rsid w:val="654600C7"/>
    <w:rsid w:val="67124EF3"/>
    <w:rsid w:val="67FB020F"/>
    <w:rsid w:val="68275F65"/>
    <w:rsid w:val="69525E11"/>
    <w:rsid w:val="6AB110DE"/>
    <w:rsid w:val="6AC42253"/>
    <w:rsid w:val="6E4E2ADF"/>
    <w:rsid w:val="6EFE4D39"/>
    <w:rsid w:val="702A7E76"/>
    <w:rsid w:val="70373B66"/>
    <w:rsid w:val="708C1DF7"/>
    <w:rsid w:val="70CE56C9"/>
    <w:rsid w:val="716E5F7F"/>
    <w:rsid w:val="71CA169A"/>
    <w:rsid w:val="726A5D82"/>
    <w:rsid w:val="72C45A7A"/>
    <w:rsid w:val="72CB7C7E"/>
    <w:rsid w:val="73595A97"/>
    <w:rsid w:val="750502DE"/>
    <w:rsid w:val="75090303"/>
    <w:rsid w:val="76CC16FB"/>
    <w:rsid w:val="77135C57"/>
    <w:rsid w:val="77A246B7"/>
    <w:rsid w:val="77F71807"/>
    <w:rsid w:val="787413DE"/>
    <w:rsid w:val="7A9D03A8"/>
    <w:rsid w:val="7B861EDA"/>
    <w:rsid w:val="7BD91BDB"/>
    <w:rsid w:val="7C87367E"/>
    <w:rsid w:val="7E877395"/>
    <w:rsid w:val="7E9D2976"/>
    <w:rsid w:val="7EB72B8B"/>
    <w:rsid w:val="7F3C1C70"/>
    <w:rsid w:val="7FB42AAD"/>
    <w:rsid w:val="7FC6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100" w:beforeLines="100" w:after="100" w:afterLines="100" w:line="560" w:lineRule="exact"/>
      <w:jc w:val="center"/>
      <w:outlineLvl w:val="0"/>
    </w:pPr>
    <w:rPr>
      <w:rFonts w:ascii="Times New Roman" w:hAnsi="Times New Roman" w:eastAsia="小标宋" w:cs="Times New Roman"/>
      <w:bCs/>
      <w:kern w:val="44"/>
      <w:sz w:val="36"/>
      <w:szCs w:val="44"/>
    </w:rPr>
  </w:style>
  <w:style w:type="paragraph" w:styleId="3">
    <w:name w:val="heading 2"/>
    <w:basedOn w:val="1"/>
    <w:next w:val="1"/>
    <w:link w:val="21"/>
    <w:semiHidden/>
    <w:unhideWhenUsed/>
    <w:qFormat/>
    <w:uiPriority w:val="0"/>
    <w:pPr>
      <w:keepNext w:val="0"/>
      <w:keepLines w:val="0"/>
      <w:tabs>
        <w:tab w:val="left" w:pos="0"/>
      </w:tabs>
      <w:spacing w:line="400" w:lineRule="exact"/>
      <w:ind w:left="0" w:firstLine="880" w:firstLineChars="200"/>
      <w:jc w:val="left"/>
      <w:outlineLvl w:val="1"/>
    </w:pPr>
    <w:rPr>
      <w:rFonts w:ascii="黑体" w:hAnsi="黑体" w:eastAsia="黑体" w:cs="Times New Roman"/>
      <w:b/>
      <w:bCs/>
      <w:sz w:val="21"/>
      <w:szCs w:val="32"/>
    </w:rPr>
  </w:style>
  <w:style w:type="paragraph" w:styleId="4">
    <w:name w:val="heading 3"/>
    <w:basedOn w:val="1"/>
    <w:next w:val="1"/>
    <w:link w:val="22"/>
    <w:semiHidden/>
    <w:unhideWhenUsed/>
    <w:qFormat/>
    <w:uiPriority w:val="0"/>
    <w:pPr>
      <w:keepNext w:val="0"/>
      <w:keepLines w:val="0"/>
      <w:tabs>
        <w:tab w:val="left" w:pos="0"/>
      </w:tabs>
      <w:spacing w:line="400" w:lineRule="exact"/>
      <w:ind w:left="0" w:firstLine="880" w:firstLineChars="200"/>
      <w:jc w:val="left"/>
      <w:outlineLvl w:val="2"/>
    </w:pPr>
    <w:rPr>
      <w:rFonts w:ascii="黑体" w:hAnsi="黑体" w:eastAsia="楷体_GB2312" w:cs="Times New Roman"/>
      <w:b/>
      <w:bCs/>
      <w:sz w:val="21"/>
      <w:szCs w:val="32"/>
    </w:rPr>
  </w:style>
  <w:style w:type="paragraph" w:styleId="5">
    <w:name w:val="heading 4"/>
    <w:next w:val="1"/>
    <w:link w:val="24"/>
    <w:semiHidden/>
    <w:unhideWhenUsed/>
    <w:qFormat/>
    <w:uiPriority w:val="0"/>
    <w:pPr>
      <w:keepNext/>
      <w:keepLines/>
      <w:numPr>
        <w:ilvl w:val="3"/>
        <w:numId w:val="1"/>
      </w:numPr>
      <w:tabs>
        <w:tab w:val="left" w:pos="0"/>
      </w:tabs>
      <w:spacing w:beforeLines="0" w:beforeAutospacing="0" w:afterLines="0" w:afterAutospacing="0" w:line="240" w:lineRule="auto"/>
      <w:ind w:left="0" w:firstLine="402"/>
      <w:outlineLvl w:val="3"/>
    </w:pPr>
    <w:rPr>
      <w:rFonts w:ascii="黑体" w:hAnsi="黑体" w:eastAsia="宋体" w:cstheme="minorBidi"/>
      <w:sz w:val="21"/>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9">
    <w:name w:val="Default Paragraph Font"/>
    <w:semiHidden/>
    <w:unhideWhenUsed/>
    <w:qFormat/>
    <w:uiPriority w:val="1"/>
  </w:style>
  <w:style w:type="table" w:default="1" w:styleId="18">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spacing w:line="560" w:lineRule="exact"/>
      <w:ind w:firstLine="420" w:firstLineChars="200"/>
      <w:jc w:val="left"/>
    </w:pPr>
    <w:rPr>
      <w:rFonts w:ascii="Times New Roman" w:hAnsi="Times New Roman" w:eastAsia="仿宋_GB2312"/>
      <w:sz w:val="32"/>
      <w:szCs w:val="24"/>
    </w:rPr>
  </w:style>
  <w:style w:type="paragraph" w:styleId="12">
    <w:name w:val="Body Text"/>
    <w:basedOn w:val="1"/>
    <w:next w:val="2"/>
    <w:link w:val="28"/>
    <w:qFormat/>
    <w:uiPriority w:val="0"/>
    <w:pPr>
      <w:widowControl/>
      <w:spacing w:line="400" w:lineRule="exact"/>
      <w:ind w:firstLine="880" w:firstLineChars="200"/>
      <w:textAlignment w:val="baseline"/>
    </w:pPr>
    <w:rPr>
      <w:rFonts w:ascii="Times New Roman" w:hAnsi="Times New Roman" w:eastAsia="宋体"/>
      <w:sz w:val="21"/>
    </w:rPr>
  </w:style>
  <w:style w:type="paragraph" w:styleId="13">
    <w:name w:val="Plain Text"/>
    <w:basedOn w:val="1"/>
    <w:qFormat/>
    <w:uiPriority w:val="0"/>
    <w:pPr>
      <w:ind w:firstLine="880" w:firstLineChars="200"/>
      <w:jc w:val="left"/>
    </w:pPr>
    <w:rPr>
      <w:rFonts w:ascii="宋体" w:hAnsi="宋体" w:eastAsia="仿宋_GB2312" w:cs="Courier New"/>
      <w:snapToGrid w:val="0"/>
      <w:sz w:val="30"/>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after="120" w:afterLines="0" w:afterAutospacing="0" w:line="480" w:lineRule="auto"/>
    </w:pPr>
  </w:style>
  <w:style w:type="paragraph" w:styleId="17">
    <w:name w:val="Title"/>
    <w:basedOn w:val="1"/>
    <w:qFormat/>
    <w:uiPriority w:val="0"/>
    <w:pPr>
      <w:spacing w:beforeLines="0" w:beforeAutospacing="0" w:afterLines="0" w:afterAutospacing="0"/>
      <w:ind w:firstLine="0" w:firstLineChars="0"/>
      <w:jc w:val="center"/>
      <w:outlineLvl w:val="0"/>
    </w:pPr>
    <w:rPr>
      <w:rFonts w:ascii="Arial" w:hAnsi="Arial" w:eastAsia="方正小标宋简体"/>
      <w:sz w:val="44"/>
    </w:rPr>
  </w:style>
  <w:style w:type="character" w:customStyle="1" w:styleId="20">
    <w:name w:val="标题 1 Char"/>
    <w:link w:val="2"/>
    <w:qFormat/>
    <w:uiPriority w:val="9"/>
    <w:rPr>
      <w:rFonts w:ascii="Times New Roman" w:hAnsi="Times New Roman" w:eastAsia="小标宋" w:cs="Times New Roman"/>
      <w:bCs/>
      <w:kern w:val="44"/>
      <w:sz w:val="36"/>
      <w:szCs w:val="44"/>
    </w:rPr>
  </w:style>
  <w:style w:type="character" w:customStyle="1" w:styleId="21">
    <w:name w:val="标题 2 Char"/>
    <w:basedOn w:val="19"/>
    <w:link w:val="3"/>
    <w:qFormat/>
    <w:uiPriority w:val="9"/>
    <w:rPr>
      <w:rFonts w:ascii="黑体" w:hAnsi="黑体" w:eastAsia="黑体" w:cs="Times New Roman"/>
      <w:bCs/>
      <w:kern w:val="2"/>
      <w:sz w:val="21"/>
      <w:szCs w:val="21"/>
      <w:lang w:val="en-US" w:bidi="ar-SA"/>
    </w:rPr>
  </w:style>
  <w:style w:type="character" w:customStyle="1" w:styleId="22">
    <w:name w:val="标题 3 Char"/>
    <w:link w:val="4"/>
    <w:qFormat/>
    <w:uiPriority w:val="9"/>
    <w:rPr>
      <w:rFonts w:ascii="黑体" w:hAnsi="黑体" w:eastAsia="楷体_GB2312" w:cs="Times New Roman"/>
      <w:b/>
      <w:bCs/>
      <w:kern w:val="2"/>
      <w:sz w:val="21"/>
      <w:szCs w:val="32"/>
      <w:lang w:val="en-US" w:bidi="ar-SA"/>
    </w:rPr>
  </w:style>
  <w:style w:type="paragraph" w:customStyle="1" w:styleId="23">
    <w:name w:val="表格1"/>
    <w:basedOn w:val="12"/>
    <w:qFormat/>
    <w:uiPriority w:val="0"/>
    <w:pPr>
      <w:spacing w:line="240" w:lineRule="auto"/>
      <w:ind w:firstLine="0" w:firstLineChars="0"/>
      <w:jc w:val="center"/>
    </w:pPr>
    <w:rPr>
      <w:rFonts w:eastAsia="宋体"/>
      <w:sz w:val="18"/>
    </w:rPr>
  </w:style>
  <w:style w:type="character" w:customStyle="1" w:styleId="24">
    <w:name w:val="标题 4 Char"/>
    <w:link w:val="5"/>
    <w:qFormat/>
    <w:uiPriority w:val="0"/>
    <w:rPr>
      <w:rFonts w:ascii="黑体" w:hAnsi="黑体" w:eastAsia="宋体"/>
      <w:sz w:val="21"/>
    </w:rPr>
  </w:style>
  <w:style w:type="paragraph" w:customStyle="1" w:styleId="25">
    <w:name w:val="表格"/>
    <w:basedOn w:val="1"/>
    <w:qFormat/>
    <w:uiPriority w:val="0"/>
    <w:pPr>
      <w:spacing w:line="400" w:lineRule="exact"/>
      <w:jc w:val="center"/>
    </w:pPr>
    <w:rPr>
      <w:rFonts w:asciiTheme="minorAscii" w:hAnsiTheme="minorAscii" w:eastAsiaTheme="minorEastAsia" w:cstheme="minorBidi"/>
      <w:kern w:val="2"/>
      <w:sz w:val="24"/>
      <w:szCs w:val="24"/>
      <w:lang w:val="en-US" w:bidi="ar-SA"/>
    </w:rPr>
  </w:style>
  <w:style w:type="paragraph" w:customStyle="1" w:styleId="26">
    <w:name w:val="表注"/>
    <w:basedOn w:val="12"/>
    <w:qFormat/>
    <w:uiPriority w:val="0"/>
    <w:pPr>
      <w:spacing w:line="360" w:lineRule="exact"/>
      <w:ind w:firstLine="0" w:firstLineChars="0"/>
      <w:jc w:val="left"/>
    </w:pPr>
    <w:rPr>
      <w:sz w:val="18"/>
    </w:rPr>
  </w:style>
  <w:style w:type="paragraph" w:customStyle="1" w:styleId="27">
    <w:name w:val="表"/>
    <w:basedOn w:val="1"/>
    <w:qFormat/>
    <w:uiPriority w:val="0"/>
    <w:pPr>
      <w:pBdr>
        <w:top w:val="none" w:color="auto" w:sz="0" w:space="1"/>
        <w:left w:val="none" w:color="auto" w:sz="0" w:space="4"/>
        <w:bottom w:val="none" w:color="auto" w:sz="0" w:space="1"/>
        <w:right w:val="none" w:color="auto" w:sz="0" w:space="4"/>
      </w:pBdr>
      <w:spacing w:line="200" w:lineRule="exact"/>
      <w:jc w:val="center"/>
    </w:pPr>
    <w:rPr>
      <w:rFonts w:ascii="Times New Roman" w:hAnsi="Times New Roman" w:eastAsia="宋体"/>
      <w:sz w:val="15"/>
    </w:rPr>
  </w:style>
  <w:style w:type="character" w:customStyle="1" w:styleId="28">
    <w:name w:val="正文文本 Char"/>
    <w:link w:val="12"/>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2020-11-02T09:36:00Z</dcterms:created>
  <dc:creator>超彩广告小阮</dc:creator>
  <cp:lastModifiedBy>超彩广告小阮</cp:lastModifiedBy>
  <dcterms:modified xsi:type="dcterms:W3CDTF">2020-11-02T09:36:34Z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